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02BFE" w14:textId="69EF8065" w:rsidR="000658FE" w:rsidRDefault="000658FE" w:rsidP="000658FE">
      <w:pPr>
        <w:tabs>
          <w:tab w:val="center" w:pos="4536"/>
          <w:tab w:val="right" w:pos="9072"/>
        </w:tabs>
        <w:jc w:val="both"/>
        <w:rPr>
          <w:rFonts w:ascii="Arial" w:eastAsia="MS Mincho" w:hAnsi="Arial" w:cs="Arial"/>
          <w:b/>
          <w:bCs/>
          <w:sz w:val="22"/>
        </w:rPr>
      </w:pPr>
      <w:r>
        <w:rPr>
          <w:rFonts w:ascii="Arial" w:eastAsia="MS Mincho" w:hAnsi="Arial" w:cs="Arial"/>
          <w:b/>
          <w:bCs/>
          <w:sz w:val="22"/>
        </w:rPr>
        <w:t>3GPP TSG RAN WG1 #101 Meeting</w:t>
      </w:r>
      <w:r>
        <w:rPr>
          <w:rFonts w:ascii="Arial" w:eastAsia="MS Mincho" w:hAnsi="Arial" w:cs="Arial"/>
          <w:b/>
          <w:bCs/>
          <w:sz w:val="22"/>
        </w:rPr>
        <w:tab/>
      </w:r>
      <w:r>
        <w:rPr>
          <w:rFonts w:ascii="Arial" w:eastAsia="MS Mincho" w:hAnsi="Arial" w:cs="Arial"/>
          <w:b/>
          <w:bCs/>
          <w:sz w:val="22"/>
        </w:rPr>
        <w:tab/>
        <w:t>R1-2003356</w:t>
      </w:r>
    </w:p>
    <w:p w14:paraId="569653BD" w14:textId="416481B2" w:rsidR="00055BDB" w:rsidRPr="000658FE" w:rsidRDefault="000658FE" w:rsidP="000658FE">
      <w:pPr>
        <w:pStyle w:val="a4"/>
        <w:tabs>
          <w:tab w:val="left" w:pos="1800"/>
        </w:tabs>
        <w:rPr>
          <w:rFonts w:eastAsia="MS Mincho" w:cs="Arial"/>
          <w:bCs/>
          <w:sz w:val="22"/>
        </w:rPr>
      </w:pPr>
      <w:r w:rsidRPr="000658FE">
        <w:rPr>
          <w:rFonts w:eastAsia="MS Mincho" w:cs="Arial"/>
          <w:bCs/>
          <w:sz w:val="22"/>
        </w:rPr>
        <w:t>e-Meeting, May 25th – June 5th, 2020</w:t>
      </w:r>
    </w:p>
    <w:p w14:paraId="60175EE3" w14:textId="77777777" w:rsidR="00573CD7" w:rsidRPr="00203CE9" w:rsidRDefault="00573CD7" w:rsidP="00573CD7">
      <w:pPr>
        <w:pStyle w:val="a4"/>
        <w:rPr>
          <w:rFonts w:cs="Arial"/>
        </w:rPr>
      </w:pPr>
    </w:p>
    <w:p w14:paraId="7BA0138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47197BC1" w14:textId="3A49EE6E" w:rsidR="00573CD7" w:rsidRPr="00F77EFB" w:rsidRDefault="00573CD7" w:rsidP="000658FE">
      <w:pPr>
        <w:pStyle w:val="a4"/>
        <w:tabs>
          <w:tab w:val="left" w:pos="1800"/>
        </w:tabs>
        <w:rPr>
          <w:rFonts w:eastAsiaTheme="minorEastAsia" w:cs="Arial"/>
          <w:lang w:eastAsia="zh-CN"/>
        </w:rPr>
      </w:pPr>
      <w:r w:rsidRPr="00203CE9">
        <w:rPr>
          <w:rFonts w:cs="Arial"/>
        </w:rPr>
        <w:t>Title:</w:t>
      </w:r>
      <w:r w:rsidRPr="00203CE9">
        <w:rPr>
          <w:rFonts w:cs="Arial"/>
        </w:rPr>
        <w:tab/>
      </w:r>
      <w:r w:rsidR="000658FE" w:rsidRPr="000658FE">
        <w:rPr>
          <w:rFonts w:eastAsiaTheme="minorEastAsia" w:cs="Arial"/>
          <w:lang w:eastAsia="zh-CN"/>
        </w:rPr>
        <w:t>Remaining issues on UL carrier switch</w:t>
      </w:r>
    </w:p>
    <w:p w14:paraId="37AD7BFF" w14:textId="49CDFFB5"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00AF6601">
        <w:rPr>
          <w:rFonts w:eastAsia="宋体" w:cs="Arial" w:hint="eastAsia"/>
          <w:lang w:eastAsia="zh-CN"/>
        </w:rPr>
        <w:t>5.1</w:t>
      </w:r>
    </w:p>
    <w:p w14:paraId="157ABA29"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2044662D"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6C6C23F3" w14:textId="547CF9F1" w:rsidR="00F76454" w:rsidRDefault="000658FE" w:rsidP="0077082C">
      <w:pPr>
        <w:pStyle w:val="a0"/>
        <w:tabs>
          <w:tab w:val="num" w:pos="226"/>
          <w:tab w:val="num" w:pos="284"/>
          <w:tab w:val="left" w:pos="5103"/>
        </w:tabs>
        <w:snapToGrid w:val="0"/>
        <w:spacing w:beforeLines="50" w:before="120"/>
        <w:rPr>
          <w:rFonts w:eastAsiaTheme="minorEastAsia" w:hint="eastAsia"/>
          <w:sz w:val="21"/>
          <w:szCs w:val="21"/>
          <w:lang w:eastAsia="zh-CN"/>
        </w:rPr>
      </w:pPr>
      <w:r>
        <w:rPr>
          <w:rFonts w:eastAsia="宋体"/>
          <w:sz w:val="21"/>
          <w:szCs w:val="21"/>
          <w:lang w:val="en-GB" w:eastAsia="zh-CN"/>
        </w:rPr>
        <w:t>I</w:t>
      </w:r>
      <w:r>
        <w:rPr>
          <w:rFonts w:eastAsia="宋体" w:hint="eastAsia"/>
          <w:sz w:val="21"/>
          <w:szCs w:val="21"/>
          <w:lang w:val="en-GB" w:eastAsia="zh-CN"/>
        </w:rPr>
        <w:t>n</w:t>
      </w:r>
      <w:r>
        <w:rPr>
          <w:rFonts w:eastAsia="宋体"/>
          <w:sz w:val="21"/>
          <w:szCs w:val="21"/>
          <w:lang w:val="en-GB" w:eastAsia="zh-CN"/>
        </w:rPr>
        <w:t xml:space="preserve"> RAN1#100bis-e, significant progress has been made for the UL carrier-switching feature. </w:t>
      </w:r>
    </w:p>
    <w:p w14:paraId="402DBE12" w14:textId="758A74A0" w:rsidR="0077082C" w:rsidRPr="002B75A0" w:rsidRDefault="003154F4" w:rsidP="0077082C">
      <w:pPr>
        <w:pStyle w:val="a0"/>
        <w:tabs>
          <w:tab w:val="num" w:pos="226"/>
          <w:tab w:val="num" w:pos="284"/>
          <w:tab w:val="left" w:pos="5103"/>
        </w:tabs>
        <w:snapToGrid w:val="0"/>
        <w:spacing w:beforeLines="50" w:before="120"/>
        <w:rPr>
          <w:rFonts w:eastAsia="宋体"/>
          <w:sz w:val="21"/>
          <w:szCs w:val="21"/>
          <w:lang w:eastAsia="zh-CN"/>
        </w:rPr>
      </w:pPr>
      <w:r w:rsidRPr="009248F0">
        <w:rPr>
          <w:rFonts w:hint="eastAsia"/>
          <w:sz w:val="21"/>
          <w:szCs w:val="21"/>
        </w:rPr>
        <w:t xml:space="preserve">In </w:t>
      </w:r>
      <w:r w:rsidRPr="009248F0">
        <w:rPr>
          <w:sz w:val="21"/>
          <w:szCs w:val="21"/>
        </w:rPr>
        <w:t xml:space="preserve">this contribution, we </w:t>
      </w:r>
      <w:r w:rsidR="000658FE">
        <w:rPr>
          <w:sz w:val="21"/>
          <w:szCs w:val="21"/>
        </w:rPr>
        <w:t xml:space="preserve">discuss some remaining details. </w:t>
      </w:r>
    </w:p>
    <w:p w14:paraId="582F9A19" w14:textId="5CA195EA" w:rsidR="008C5F03" w:rsidRPr="00D42D22" w:rsidRDefault="00A80264" w:rsidP="006E0E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Pr>
          <w:rFonts w:ascii="Arial" w:eastAsia="宋体" w:hAnsi="Arial" w:cs="Times New Roman" w:hint="eastAsia"/>
          <w:b w:val="0"/>
          <w:bCs w:val="0"/>
          <w:kern w:val="0"/>
          <w:sz w:val="36"/>
          <w:szCs w:val="20"/>
          <w:lang w:eastAsia="zh-CN"/>
        </w:rPr>
        <w:t>Discussion</w:t>
      </w:r>
    </w:p>
    <w:bookmarkEnd w:id="0"/>
    <w:bookmarkEnd w:id="1"/>
    <w:p w14:paraId="71630ED4" w14:textId="77777777" w:rsidR="000658FE" w:rsidRDefault="000658FE" w:rsidP="00C62533">
      <w:pPr>
        <w:pStyle w:val="a0"/>
        <w:rPr>
          <w:rFonts w:eastAsia="宋体"/>
          <w:u w:val="single"/>
          <w:lang w:eastAsia="zh-CN"/>
        </w:rPr>
      </w:pPr>
      <w:r>
        <w:rPr>
          <w:rFonts w:eastAsia="宋体"/>
          <w:u w:val="single"/>
          <w:lang w:eastAsia="zh-CN"/>
        </w:rPr>
        <w:t>The time granularity of UL switching</w:t>
      </w:r>
    </w:p>
    <w:p w14:paraId="39BB64C7" w14:textId="4718DB12" w:rsidR="000658FE" w:rsidRPr="000658FE" w:rsidRDefault="000658FE" w:rsidP="000658FE">
      <w:pPr>
        <w:pStyle w:val="a0"/>
        <w:tabs>
          <w:tab w:val="num" w:pos="226"/>
          <w:tab w:val="num" w:pos="284"/>
          <w:tab w:val="left" w:pos="5103"/>
        </w:tabs>
        <w:snapToGrid w:val="0"/>
        <w:spacing w:beforeLines="50" w:before="120"/>
        <w:rPr>
          <w:rFonts w:eastAsia="宋体"/>
          <w:sz w:val="21"/>
          <w:szCs w:val="21"/>
          <w:lang w:val="en-GB" w:eastAsia="zh-CN"/>
        </w:rPr>
      </w:pPr>
      <w:r w:rsidRPr="000658FE">
        <w:rPr>
          <w:rFonts w:eastAsia="宋体"/>
          <w:sz w:val="21"/>
          <w:szCs w:val="21"/>
          <w:lang w:val="en-GB" w:eastAsia="zh-CN"/>
        </w:rPr>
        <w:t>In RAN1 email thread [100b-e-LS-TxSwitching-02]</w:t>
      </w:r>
      <w:r>
        <w:rPr>
          <w:rFonts w:eastAsia="宋体"/>
          <w:sz w:val="21"/>
          <w:szCs w:val="21"/>
          <w:lang w:val="en-GB" w:eastAsia="zh-CN"/>
        </w:rPr>
        <w:t xml:space="preserve">, the time granularity of switching period determination has been discussed, with following identified options. </w:t>
      </w:r>
    </w:p>
    <w:p w14:paraId="183B1679" w14:textId="77777777" w:rsidR="000658FE" w:rsidRPr="00467808" w:rsidRDefault="000658FE" w:rsidP="000658FE">
      <w:pPr>
        <w:numPr>
          <w:ilvl w:val="0"/>
          <w:numId w:val="33"/>
        </w:numPr>
        <w:overflowPunct w:val="0"/>
        <w:autoSpaceDE w:val="0"/>
        <w:autoSpaceDN w:val="0"/>
        <w:adjustRightInd w:val="0"/>
        <w:spacing w:after="180"/>
        <w:jc w:val="both"/>
        <w:textAlignment w:val="baseline"/>
        <w:rPr>
          <w:sz w:val="22"/>
          <w:szCs w:val="21"/>
        </w:rPr>
      </w:pPr>
      <w:r w:rsidRPr="00467808">
        <w:rPr>
          <w:sz w:val="22"/>
          <w:szCs w:val="21"/>
        </w:rPr>
        <w:t>Down selection on following two options in next meeting</w:t>
      </w:r>
      <w:r w:rsidRPr="00467808">
        <w:rPr>
          <w:rFonts w:hint="eastAsia"/>
          <w:sz w:val="22"/>
          <w:szCs w:val="21"/>
        </w:rPr>
        <w:t>:</w:t>
      </w:r>
    </w:p>
    <w:p w14:paraId="2DD9DD1A" w14:textId="77777777" w:rsidR="000658FE" w:rsidRPr="00467808" w:rsidRDefault="000658FE" w:rsidP="000658FE">
      <w:pPr>
        <w:numPr>
          <w:ilvl w:val="1"/>
          <w:numId w:val="9"/>
        </w:numPr>
        <w:overflowPunct w:val="0"/>
        <w:autoSpaceDE w:val="0"/>
        <w:autoSpaceDN w:val="0"/>
        <w:snapToGrid w:val="0"/>
        <w:spacing w:after="100"/>
        <w:rPr>
          <w:sz w:val="22"/>
          <w:szCs w:val="21"/>
        </w:rPr>
      </w:pPr>
      <w:r w:rsidRPr="00467808">
        <w:rPr>
          <w:sz w:val="22"/>
          <w:szCs w:val="21"/>
        </w:rPr>
        <w:t>Option 1: The presence of the switching period is determined one time every transmission occasion.</w:t>
      </w:r>
    </w:p>
    <w:p w14:paraId="1A03EA51" w14:textId="77777777" w:rsidR="000658FE" w:rsidRPr="00467808" w:rsidRDefault="000658FE" w:rsidP="000658FE">
      <w:pPr>
        <w:numPr>
          <w:ilvl w:val="1"/>
          <w:numId w:val="9"/>
        </w:numPr>
        <w:overflowPunct w:val="0"/>
        <w:autoSpaceDE w:val="0"/>
        <w:autoSpaceDN w:val="0"/>
        <w:snapToGrid w:val="0"/>
        <w:spacing w:after="100"/>
        <w:rPr>
          <w:sz w:val="22"/>
          <w:szCs w:val="21"/>
        </w:rPr>
      </w:pPr>
      <w:r w:rsidRPr="00467808">
        <w:rPr>
          <w:sz w:val="22"/>
          <w:szCs w:val="21"/>
        </w:rPr>
        <w:t>Option 2: The presence of the switching period is determined one time every slot or every UL phase.</w:t>
      </w:r>
    </w:p>
    <w:p w14:paraId="094AD78E" w14:textId="1F056306" w:rsidR="00FE684C" w:rsidRDefault="00467808" w:rsidP="00467808">
      <w:pPr>
        <w:pStyle w:val="a0"/>
        <w:tabs>
          <w:tab w:val="num" w:pos="226"/>
          <w:tab w:val="num" w:pos="284"/>
          <w:tab w:val="left" w:pos="5103"/>
        </w:tabs>
        <w:snapToGrid w:val="0"/>
        <w:spacing w:beforeLines="50" w:before="120"/>
        <w:rPr>
          <w:rFonts w:eastAsia="宋体"/>
          <w:sz w:val="21"/>
          <w:szCs w:val="21"/>
          <w:lang w:val="en-GB" w:eastAsia="zh-CN"/>
        </w:rPr>
      </w:pPr>
      <w:r w:rsidRPr="00467808">
        <w:rPr>
          <w:rFonts w:eastAsia="宋体"/>
          <w:sz w:val="21"/>
          <w:szCs w:val="21"/>
          <w:lang w:val="en-GB" w:eastAsia="zh-CN"/>
        </w:rPr>
        <w:t>In principle, both options can work</w:t>
      </w:r>
      <w:r>
        <w:rPr>
          <w:rFonts w:eastAsia="宋体"/>
          <w:sz w:val="21"/>
          <w:szCs w:val="21"/>
          <w:lang w:val="en-GB" w:eastAsia="zh-CN"/>
        </w:rPr>
        <w:t>. From UE perspective, too frequent carrier switching can cause excessive switching gap and DL interruptions. As the motivation of the feature is to maximum the UL MIMO throughput gain on carrier 2 (i.e. higher band TDD carrier), it is not likely that network will schedule the UE to switch back-and-forth between carrier 1 and carrier 2</w:t>
      </w:r>
      <w:r w:rsidR="0087753E">
        <w:rPr>
          <w:rFonts w:eastAsia="宋体"/>
          <w:sz w:val="21"/>
          <w:szCs w:val="21"/>
          <w:lang w:val="en-GB" w:eastAsia="zh-CN"/>
        </w:rPr>
        <w:t xml:space="preserve"> during the contiguous UL slots on carrier 2, i.e. the UL phase. It can be argued that option 1 provides full flexibility for network it is a network scheduler implementation issue to reduce the frequency of carrier switching; however, it is not beneficial for UE to be always prepared for carrier switch every transmission occasion or every slot. </w:t>
      </w:r>
      <w:r w:rsidR="00FB0FA0">
        <w:rPr>
          <w:rFonts w:eastAsia="宋体"/>
          <w:sz w:val="21"/>
          <w:szCs w:val="21"/>
          <w:lang w:val="en-GB" w:eastAsia="zh-CN"/>
        </w:rPr>
        <w:t xml:space="preserve">It could be beneficial for UE implementation if the location for potential UL switch is pre-known by the UE such that </w:t>
      </w:r>
      <w:r w:rsidR="00FE684C">
        <w:rPr>
          <w:rFonts w:eastAsia="宋体"/>
          <w:sz w:val="21"/>
          <w:szCs w:val="21"/>
          <w:lang w:val="en-GB" w:eastAsia="zh-CN"/>
        </w:rPr>
        <w:t xml:space="preserve">some potential power saving can be possible. </w:t>
      </w:r>
      <w:r w:rsidR="00FE684C">
        <w:rPr>
          <w:rFonts w:eastAsia="宋体" w:hint="eastAsia"/>
          <w:sz w:val="21"/>
          <w:szCs w:val="21"/>
          <w:lang w:val="en-GB" w:eastAsia="zh-CN"/>
        </w:rPr>
        <w:t>T</w:t>
      </w:r>
      <w:r w:rsidR="00FE684C">
        <w:rPr>
          <w:rFonts w:eastAsia="宋体"/>
          <w:sz w:val="21"/>
          <w:szCs w:val="21"/>
          <w:lang w:val="en-GB" w:eastAsia="zh-CN"/>
        </w:rPr>
        <w:t xml:space="preserve">herefore, we suggest to have some restrictions on the presence of switching period and prefer to not allow more than one switch per UL phase. </w:t>
      </w:r>
    </w:p>
    <w:p w14:paraId="3F374427" w14:textId="5CF9CC76" w:rsidR="00FE684C" w:rsidRPr="00467808" w:rsidRDefault="00FE684C" w:rsidP="00FE684C">
      <w:pPr>
        <w:overflowPunct w:val="0"/>
        <w:autoSpaceDE w:val="0"/>
        <w:autoSpaceDN w:val="0"/>
        <w:snapToGrid w:val="0"/>
        <w:spacing w:after="100"/>
        <w:rPr>
          <w:sz w:val="22"/>
          <w:szCs w:val="21"/>
        </w:rPr>
      </w:pPr>
      <w:r w:rsidRPr="00FE684C">
        <w:rPr>
          <w:rFonts w:eastAsia="宋体"/>
          <w:b/>
          <w:sz w:val="21"/>
          <w:szCs w:val="21"/>
          <w:u w:val="single"/>
          <w:lang w:val="en-GB" w:eastAsia="zh-CN"/>
        </w:rPr>
        <w:t xml:space="preserve">Proposal 1: </w:t>
      </w:r>
      <w:r w:rsidRPr="00467808">
        <w:rPr>
          <w:sz w:val="22"/>
          <w:szCs w:val="21"/>
        </w:rPr>
        <w:t>The presence of the switching period i</w:t>
      </w:r>
      <w:r>
        <w:rPr>
          <w:sz w:val="22"/>
          <w:szCs w:val="21"/>
        </w:rPr>
        <w:t xml:space="preserve">s determined once per UL phase, where UL phase is defined as </w:t>
      </w:r>
      <w:r w:rsidR="00D16771">
        <w:rPr>
          <w:sz w:val="22"/>
          <w:szCs w:val="21"/>
        </w:rPr>
        <w:t xml:space="preserve">a set of </w:t>
      </w:r>
      <w:r>
        <w:rPr>
          <w:sz w:val="22"/>
          <w:szCs w:val="21"/>
        </w:rPr>
        <w:t xml:space="preserve">contiguous UL slots in the carrier 2. </w:t>
      </w:r>
    </w:p>
    <w:p w14:paraId="2CB4912E" w14:textId="2940CEB9" w:rsidR="00FE684C" w:rsidRDefault="0090621C" w:rsidP="00467808">
      <w:pPr>
        <w:pStyle w:val="a0"/>
        <w:tabs>
          <w:tab w:val="num" w:pos="226"/>
          <w:tab w:val="num" w:pos="284"/>
          <w:tab w:val="left" w:pos="5103"/>
        </w:tabs>
        <w:snapToGrid w:val="0"/>
        <w:spacing w:beforeLines="50" w:before="120"/>
        <w:rPr>
          <w:rFonts w:eastAsia="宋体"/>
          <w:sz w:val="21"/>
          <w:szCs w:val="21"/>
          <w:u w:val="single"/>
          <w:lang w:eastAsia="zh-CN"/>
        </w:rPr>
      </w:pPr>
      <w:r w:rsidRPr="0090621C">
        <w:rPr>
          <w:rFonts w:eastAsia="宋体" w:hint="eastAsia"/>
          <w:sz w:val="21"/>
          <w:szCs w:val="21"/>
          <w:u w:val="single"/>
          <w:lang w:eastAsia="zh-CN"/>
        </w:rPr>
        <w:t>E</w:t>
      </w:r>
      <w:r w:rsidRPr="0090621C">
        <w:rPr>
          <w:rFonts w:eastAsia="宋体"/>
          <w:sz w:val="21"/>
          <w:szCs w:val="21"/>
          <w:u w:val="single"/>
          <w:lang w:eastAsia="zh-CN"/>
        </w:rPr>
        <w:t>N-DC</w:t>
      </w:r>
    </w:p>
    <w:p w14:paraId="685279F5" w14:textId="77777777" w:rsidR="007777E4" w:rsidRPr="002F5CAB" w:rsidRDefault="007777E4" w:rsidP="007777E4">
      <w:pPr>
        <w:pStyle w:val="a0"/>
        <w:rPr>
          <w:rFonts w:eastAsia="宋体"/>
          <w:lang w:eastAsia="zh-CN"/>
        </w:rPr>
      </w:pPr>
      <w:r>
        <w:rPr>
          <w:rFonts w:eastAsia="宋体" w:hint="eastAsia"/>
          <w:lang w:eastAsia="zh-CN"/>
        </w:rPr>
        <w:t xml:space="preserve">Regarding the TDM operation between LTE 1Tx and NR 2Tx in EN-DC, due to the </w:t>
      </w:r>
      <w:r>
        <w:rPr>
          <w:rFonts w:eastAsia="宋体"/>
          <w:lang w:eastAsia="zh-CN"/>
        </w:rPr>
        <w:t>independent</w:t>
      </w:r>
      <w:r>
        <w:rPr>
          <w:rFonts w:eastAsia="宋体" w:hint="eastAsia"/>
          <w:lang w:eastAsia="zh-CN"/>
        </w:rPr>
        <w:t xml:space="preserve"> scheduling decision between LTE and NR, the TDM operation as defined in Rel-15 single UL operation can be reused to achieve the TDM switching. </w:t>
      </w:r>
      <w:r>
        <w:rPr>
          <w:rFonts w:eastAsiaTheme="minorEastAsia" w:hint="eastAsia"/>
          <w:lang w:eastAsia="zh-CN"/>
        </w:rPr>
        <w:t>Specifically, the following options have been identified</w:t>
      </w:r>
      <w:r>
        <w:rPr>
          <w:rFonts w:eastAsiaTheme="minorEastAsia"/>
          <w:lang w:eastAsia="zh-CN"/>
        </w:rPr>
        <w:t xml:space="preserve"> in the feature lead summary (R1-2001276)</w:t>
      </w:r>
      <w:r>
        <w:rPr>
          <w:rFonts w:eastAsiaTheme="minorEastAsia" w:hint="eastAsia"/>
          <w:lang w:eastAsia="zh-CN"/>
        </w:rPr>
        <w:t xml:space="preserve">. </w:t>
      </w:r>
    </w:p>
    <w:p w14:paraId="3F1DA7B6" w14:textId="77777777" w:rsidR="007777E4" w:rsidRPr="00C12D3F" w:rsidRDefault="007777E4" w:rsidP="007777E4">
      <w:pPr>
        <w:numPr>
          <w:ilvl w:val="0"/>
          <w:numId w:val="9"/>
        </w:numPr>
        <w:overflowPunct w:val="0"/>
        <w:autoSpaceDE w:val="0"/>
        <w:autoSpaceDN w:val="0"/>
        <w:adjustRightInd w:val="0"/>
        <w:snapToGrid w:val="0"/>
        <w:spacing w:after="100"/>
        <w:textAlignment w:val="baseline"/>
        <w:rPr>
          <w:sz w:val="21"/>
          <w:szCs w:val="21"/>
          <w:lang w:eastAsia="zh-CN"/>
        </w:rPr>
      </w:pPr>
      <w:r w:rsidRPr="00C12D3F">
        <w:rPr>
          <w:sz w:val="21"/>
          <w:szCs w:val="21"/>
          <w:lang w:eastAsia="zh-CN"/>
        </w:rPr>
        <w:t>Option 1: Reuse Rel-15 EN-DC HARQ timing case 1 with FDD PCell</w:t>
      </w:r>
    </w:p>
    <w:p w14:paraId="6FB7C6AF" w14:textId="77777777" w:rsidR="007777E4" w:rsidRDefault="007777E4" w:rsidP="007777E4">
      <w:pPr>
        <w:numPr>
          <w:ilvl w:val="1"/>
          <w:numId w:val="28"/>
        </w:numPr>
        <w:overflowPunct w:val="0"/>
        <w:autoSpaceDE w:val="0"/>
        <w:autoSpaceDN w:val="0"/>
        <w:adjustRightInd w:val="0"/>
        <w:snapToGrid w:val="0"/>
        <w:spacing w:after="100"/>
        <w:textAlignment w:val="baseline"/>
        <w:rPr>
          <w:sz w:val="21"/>
          <w:szCs w:val="21"/>
          <w:lang w:eastAsia="zh-CN"/>
        </w:rPr>
      </w:pPr>
      <w:r w:rsidRPr="00C710E1">
        <w:rPr>
          <w:sz w:val="21"/>
          <w:szCs w:val="21"/>
          <w:lang w:eastAsia="zh-CN"/>
        </w:rPr>
        <w:t>UE assumes always Case 1 in LTE subframes designated as UL in the reference DL/UL configuration and Case 2 in the remaining subframes</w:t>
      </w:r>
      <w:r>
        <w:rPr>
          <w:sz w:val="21"/>
          <w:szCs w:val="21"/>
          <w:lang w:eastAsia="zh-CN"/>
        </w:rPr>
        <w:t xml:space="preserve">. </w:t>
      </w:r>
    </w:p>
    <w:p w14:paraId="784E120B" w14:textId="77777777" w:rsidR="007777E4" w:rsidRDefault="007777E4" w:rsidP="007777E4">
      <w:pPr>
        <w:numPr>
          <w:ilvl w:val="2"/>
          <w:numId w:val="28"/>
        </w:numPr>
        <w:overflowPunct w:val="0"/>
        <w:autoSpaceDE w:val="0"/>
        <w:autoSpaceDN w:val="0"/>
        <w:adjustRightInd w:val="0"/>
        <w:snapToGrid w:val="0"/>
        <w:spacing w:after="100"/>
        <w:textAlignment w:val="baseline"/>
        <w:rPr>
          <w:sz w:val="21"/>
          <w:szCs w:val="21"/>
          <w:lang w:eastAsia="zh-CN"/>
        </w:rPr>
      </w:pPr>
      <w:r>
        <w:rPr>
          <w:sz w:val="21"/>
          <w:szCs w:val="21"/>
          <w:lang w:eastAsia="zh-CN"/>
        </w:rPr>
        <w:t>UE is not expected to transmit in NR for Case 1.</w:t>
      </w:r>
    </w:p>
    <w:p w14:paraId="6617348B" w14:textId="77777777" w:rsidR="007777E4" w:rsidRPr="004155B0" w:rsidRDefault="007777E4" w:rsidP="007777E4">
      <w:pPr>
        <w:numPr>
          <w:ilvl w:val="1"/>
          <w:numId w:val="28"/>
        </w:numPr>
        <w:overflowPunct w:val="0"/>
        <w:autoSpaceDE w:val="0"/>
        <w:autoSpaceDN w:val="0"/>
        <w:adjustRightInd w:val="0"/>
        <w:snapToGrid w:val="0"/>
        <w:spacing w:after="100"/>
        <w:textAlignment w:val="baseline"/>
        <w:rPr>
          <w:sz w:val="21"/>
          <w:szCs w:val="21"/>
          <w:lang w:eastAsia="zh-CN"/>
        </w:rPr>
      </w:pPr>
      <w:r w:rsidRPr="00C710E1">
        <w:rPr>
          <w:sz w:val="21"/>
          <w:szCs w:val="21"/>
          <w:lang w:eastAsia="zh-CN"/>
        </w:rPr>
        <w:t>No change to LTE operation</w:t>
      </w:r>
      <w:r>
        <w:rPr>
          <w:sz w:val="21"/>
          <w:szCs w:val="21"/>
          <w:lang w:eastAsia="zh-CN"/>
        </w:rPr>
        <w:t>.</w:t>
      </w:r>
    </w:p>
    <w:p w14:paraId="23479EC6" w14:textId="77777777" w:rsidR="007777E4" w:rsidRPr="00C12D3F" w:rsidRDefault="007777E4" w:rsidP="007777E4">
      <w:pPr>
        <w:numPr>
          <w:ilvl w:val="0"/>
          <w:numId w:val="9"/>
        </w:numPr>
        <w:overflowPunct w:val="0"/>
        <w:autoSpaceDE w:val="0"/>
        <w:autoSpaceDN w:val="0"/>
        <w:adjustRightInd w:val="0"/>
        <w:snapToGrid w:val="0"/>
        <w:spacing w:after="100"/>
        <w:textAlignment w:val="baseline"/>
        <w:rPr>
          <w:sz w:val="21"/>
          <w:szCs w:val="21"/>
          <w:lang w:eastAsia="zh-CN"/>
        </w:rPr>
      </w:pPr>
      <w:r w:rsidRPr="00C12D3F">
        <w:rPr>
          <w:sz w:val="21"/>
          <w:szCs w:val="21"/>
          <w:lang w:eastAsia="zh-CN"/>
        </w:rPr>
        <w:t xml:space="preserve">Option </w:t>
      </w:r>
      <w:r>
        <w:rPr>
          <w:sz w:val="21"/>
          <w:szCs w:val="21"/>
          <w:lang w:eastAsia="zh-CN"/>
        </w:rPr>
        <w:t>2</w:t>
      </w:r>
      <w:r w:rsidRPr="00C12D3F">
        <w:rPr>
          <w:sz w:val="21"/>
          <w:szCs w:val="21"/>
          <w:lang w:eastAsia="zh-CN"/>
        </w:rPr>
        <w:t>: Reuse Rel-15 EN-DC HARQ timing case 1 with FDD PCell</w:t>
      </w:r>
    </w:p>
    <w:p w14:paraId="0DA2E973" w14:textId="77777777" w:rsidR="007777E4" w:rsidRDefault="007777E4" w:rsidP="007777E4">
      <w:pPr>
        <w:numPr>
          <w:ilvl w:val="1"/>
          <w:numId w:val="28"/>
        </w:numPr>
        <w:overflowPunct w:val="0"/>
        <w:autoSpaceDE w:val="0"/>
        <w:autoSpaceDN w:val="0"/>
        <w:adjustRightInd w:val="0"/>
        <w:snapToGrid w:val="0"/>
        <w:spacing w:after="100"/>
        <w:textAlignment w:val="baseline"/>
        <w:rPr>
          <w:sz w:val="21"/>
          <w:szCs w:val="21"/>
          <w:lang w:eastAsia="zh-CN"/>
        </w:rPr>
      </w:pPr>
      <w:r w:rsidRPr="00C710E1">
        <w:rPr>
          <w:sz w:val="21"/>
          <w:szCs w:val="21"/>
          <w:lang w:eastAsia="zh-CN"/>
        </w:rPr>
        <w:lastRenderedPageBreak/>
        <w:t>UE assumes always Case 1 in LTE subframes designated as UL in the reference DL/UL configuration and Case 2 in the remaining subframes</w:t>
      </w:r>
      <w:r>
        <w:rPr>
          <w:sz w:val="21"/>
          <w:szCs w:val="21"/>
          <w:lang w:eastAsia="zh-CN"/>
        </w:rPr>
        <w:t xml:space="preserve">. </w:t>
      </w:r>
    </w:p>
    <w:p w14:paraId="3DE29A3F" w14:textId="77777777" w:rsidR="007777E4" w:rsidRDefault="007777E4" w:rsidP="007777E4">
      <w:pPr>
        <w:numPr>
          <w:ilvl w:val="2"/>
          <w:numId w:val="28"/>
        </w:numPr>
        <w:overflowPunct w:val="0"/>
        <w:autoSpaceDE w:val="0"/>
        <w:autoSpaceDN w:val="0"/>
        <w:adjustRightInd w:val="0"/>
        <w:snapToGrid w:val="0"/>
        <w:spacing w:after="100"/>
        <w:textAlignment w:val="baseline"/>
        <w:rPr>
          <w:sz w:val="21"/>
          <w:szCs w:val="21"/>
          <w:lang w:eastAsia="zh-CN"/>
        </w:rPr>
      </w:pPr>
      <w:r w:rsidRPr="00C710E1">
        <w:rPr>
          <w:sz w:val="21"/>
          <w:szCs w:val="21"/>
          <w:lang w:eastAsia="zh-CN"/>
        </w:rPr>
        <w:t>In LTE subframes designated as UL in the reference DL/UL configuration, UE is expected to be able to simultaneously transmit in LTE and NR, if NR carrier is configured with 1 port PUSCH/SRS transmission.</w:t>
      </w:r>
      <w:r>
        <w:rPr>
          <w:sz w:val="21"/>
          <w:szCs w:val="21"/>
          <w:lang w:eastAsia="zh-CN"/>
        </w:rPr>
        <w:t xml:space="preserve"> </w:t>
      </w:r>
    </w:p>
    <w:p w14:paraId="394448F1" w14:textId="77777777" w:rsidR="007777E4" w:rsidRPr="004155B0" w:rsidRDefault="007777E4" w:rsidP="007777E4">
      <w:pPr>
        <w:numPr>
          <w:ilvl w:val="1"/>
          <w:numId w:val="28"/>
        </w:numPr>
        <w:overflowPunct w:val="0"/>
        <w:autoSpaceDE w:val="0"/>
        <w:autoSpaceDN w:val="0"/>
        <w:adjustRightInd w:val="0"/>
        <w:snapToGrid w:val="0"/>
        <w:spacing w:after="100"/>
        <w:textAlignment w:val="baseline"/>
        <w:rPr>
          <w:sz w:val="21"/>
          <w:szCs w:val="21"/>
          <w:lang w:eastAsia="zh-CN"/>
        </w:rPr>
      </w:pPr>
      <w:r w:rsidRPr="00C710E1">
        <w:rPr>
          <w:sz w:val="21"/>
          <w:szCs w:val="21"/>
          <w:lang w:eastAsia="zh-CN"/>
        </w:rPr>
        <w:t>No change to LTE operation</w:t>
      </w:r>
      <w:r>
        <w:rPr>
          <w:sz w:val="21"/>
          <w:szCs w:val="21"/>
          <w:lang w:eastAsia="zh-CN"/>
        </w:rPr>
        <w:t>.</w:t>
      </w:r>
    </w:p>
    <w:p w14:paraId="0BAF082A" w14:textId="77777777" w:rsidR="007777E4" w:rsidRPr="00C12D3F" w:rsidRDefault="007777E4" w:rsidP="007777E4">
      <w:pPr>
        <w:numPr>
          <w:ilvl w:val="0"/>
          <w:numId w:val="9"/>
        </w:numPr>
        <w:overflowPunct w:val="0"/>
        <w:autoSpaceDE w:val="0"/>
        <w:autoSpaceDN w:val="0"/>
        <w:adjustRightInd w:val="0"/>
        <w:snapToGrid w:val="0"/>
        <w:spacing w:after="100"/>
        <w:textAlignment w:val="baseline"/>
        <w:rPr>
          <w:sz w:val="21"/>
          <w:szCs w:val="21"/>
          <w:lang w:eastAsia="zh-CN"/>
        </w:rPr>
      </w:pPr>
      <w:r>
        <w:rPr>
          <w:sz w:val="21"/>
          <w:szCs w:val="21"/>
          <w:lang w:eastAsia="zh-CN"/>
        </w:rPr>
        <w:t>Option 3</w:t>
      </w:r>
      <w:r w:rsidRPr="00C12D3F">
        <w:rPr>
          <w:sz w:val="21"/>
          <w:szCs w:val="21"/>
          <w:lang w:eastAsia="zh-CN"/>
        </w:rPr>
        <w:t>: Reuse Rel-16 EN-DC HARQ timing case 1 with FDD PCell</w:t>
      </w:r>
    </w:p>
    <w:p w14:paraId="54D8F917" w14:textId="77777777" w:rsidR="007777E4" w:rsidRDefault="007777E4" w:rsidP="007777E4">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t>UE assumes always Case 1 in both LTE subframes designated as UL in the reference DL/UL configuration and subframes where LTE PRACH is transmitting, and always assume Case 2 in the remaining subframes</w:t>
      </w:r>
      <w:r>
        <w:rPr>
          <w:sz w:val="21"/>
          <w:szCs w:val="21"/>
          <w:lang w:eastAsia="zh-CN"/>
        </w:rPr>
        <w:t xml:space="preserve">. </w:t>
      </w:r>
    </w:p>
    <w:p w14:paraId="22D8CC49" w14:textId="77777777" w:rsidR="007777E4" w:rsidRDefault="007777E4" w:rsidP="007777E4">
      <w:pPr>
        <w:numPr>
          <w:ilvl w:val="2"/>
          <w:numId w:val="28"/>
        </w:numPr>
        <w:overflowPunct w:val="0"/>
        <w:autoSpaceDE w:val="0"/>
        <w:autoSpaceDN w:val="0"/>
        <w:adjustRightInd w:val="0"/>
        <w:snapToGrid w:val="0"/>
        <w:spacing w:after="100"/>
        <w:textAlignment w:val="baseline"/>
        <w:rPr>
          <w:sz w:val="21"/>
          <w:szCs w:val="21"/>
          <w:lang w:eastAsia="zh-CN"/>
        </w:rPr>
      </w:pPr>
      <w:r>
        <w:rPr>
          <w:sz w:val="21"/>
          <w:szCs w:val="21"/>
          <w:lang w:eastAsia="zh-CN"/>
        </w:rPr>
        <w:t>UE is not expected to transmit in NR for Case 1.</w:t>
      </w:r>
    </w:p>
    <w:p w14:paraId="7221D9B1" w14:textId="77777777" w:rsidR="007777E4" w:rsidRDefault="007777E4" w:rsidP="007777E4">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softHyphen/>
        <w:t>No change to LTE operation</w:t>
      </w:r>
      <w:r>
        <w:rPr>
          <w:sz w:val="21"/>
          <w:szCs w:val="21"/>
          <w:lang w:eastAsia="zh-CN"/>
        </w:rPr>
        <w:t xml:space="preserve">. </w:t>
      </w:r>
    </w:p>
    <w:p w14:paraId="17A95EF4" w14:textId="77777777" w:rsidR="007777E4" w:rsidRDefault="007777E4" w:rsidP="007777E4">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t>UE PRACH resource configurations are not limited to the uplink subframes given by the HARQ timing case 1 configuration</w:t>
      </w:r>
      <w:r>
        <w:rPr>
          <w:sz w:val="21"/>
          <w:szCs w:val="21"/>
          <w:lang w:eastAsia="zh-CN"/>
        </w:rPr>
        <w:t xml:space="preserve">. </w:t>
      </w:r>
    </w:p>
    <w:p w14:paraId="57AC6FA9" w14:textId="77777777" w:rsidR="007777E4" w:rsidRPr="004155B0" w:rsidRDefault="007777E4" w:rsidP="007777E4">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softHyphen/>
        <w:t>For UE capable of dynamic power sharing, if the UE’s LTE PRACH transmission collides with NR uplink transmission, LTE uplink transmission is prioritized.</w:t>
      </w:r>
    </w:p>
    <w:p w14:paraId="0D448901" w14:textId="77777777" w:rsidR="007777E4" w:rsidRPr="00C12D3F" w:rsidRDefault="007777E4" w:rsidP="007777E4">
      <w:pPr>
        <w:numPr>
          <w:ilvl w:val="0"/>
          <w:numId w:val="9"/>
        </w:numPr>
        <w:overflowPunct w:val="0"/>
        <w:autoSpaceDE w:val="0"/>
        <w:autoSpaceDN w:val="0"/>
        <w:adjustRightInd w:val="0"/>
        <w:snapToGrid w:val="0"/>
        <w:spacing w:after="100"/>
        <w:textAlignment w:val="baseline"/>
        <w:rPr>
          <w:sz w:val="21"/>
          <w:szCs w:val="21"/>
          <w:lang w:eastAsia="zh-CN"/>
        </w:rPr>
      </w:pPr>
      <w:r>
        <w:rPr>
          <w:sz w:val="21"/>
          <w:szCs w:val="21"/>
          <w:lang w:eastAsia="zh-CN"/>
        </w:rPr>
        <w:t>Option 4</w:t>
      </w:r>
      <w:r w:rsidRPr="00C12D3F">
        <w:rPr>
          <w:sz w:val="21"/>
          <w:szCs w:val="21"/>
          <w:lang w:eastAsia="zh-CN"/>
        </w:rPr>
        <w:t>: Reuse Rel-16 EN-DC HARQ timing case 1 with FDD PCell</w:t>
      </w:r>
    </w:p>
    <w:p w14:paraId="1948A057" w14:textId="77777777" w:rsidR="007777E4" w:rsidRDefault="007777E4" w:rsidP="007777E4">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t>UE assumes always Case 1 in both LTE subframes designated as UL in the reference DL/UL configuration and subframes where LTE PRACH is transmitting, and always assume Case 2 in the remaining subframes</w:t>
      </w:r>
      <w:r>
        <w:rPr>
          <w:sz w:val="21"/>
          <w:szCs w:val="21"/>
          <w:lang w:eastAsia="zh-CN"/>
        </w:rPr>
        <w:t xml:space="preserve">. </w:t>
      </w:r>
    </w:p>
    <w:p w14:paraId="123BED32" w14:textId="77777777" w:rsidR="007777E4" w:rsidRDefault="007777E4" w:rsidP="007777E4">
      <w:pPr>
        <w:numPr>
          <w:ilvl w:val="2"/>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t>In LTE subframes designated as UL in the reference DL/UL configuration, UE is expected to be able to simultaneously transmit in LTE and NR, if NR carrier is configured with 1 port PUSCH/SRS transmission.</w:t>
      </w:r>
      <w:r>
        <w:rPr>
          <w:sz w:val="21"/>
          <w:szCs w:val="21"/>
          <w:lang w:eastAsia="zh-CN"/>
        </w:rPr>
        <w:t xml:space="preserve"> </w:t>
      </w:r>
    </w:p>
    <w:p w14:paraId="2007447F" w14:textId="77777777" w:rsidR="007777E4" w:rsidRDefault="007777E4" w:rsidP="007777E4">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softHyphen/>
        <w:t>No change to LTE operation</w:t>
      </w:r>
      <w:r>
        <w:rPr>
          <w:sz w:val="21"/>
          <w:szCs w:val="21"/>
          <w:lang w:eastAsia="zh-CN"/>
        </w:rPr>
        <w:t xml:space="preserve">. </w:t>
      </w:r>
    </w:p>
    <w:p w14:paraId="51DB91DB" w14:textId="77777777" w:rsidR="007777E4" w:rsidRDefault="007777E4" w:rsidP="007777E4">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t>UE PRACH resource configurations are not limited to the uplink subframes given by the HARQ timing case 1 configuration</w:t>
      </w:r>
      <w:r>
        <w:rPr>
          <w:sz w:val="21"/>
          <w:szCs w:val="21"/>
          <w:lang w:eastAsia="zh-CN"/>
        </w:rPr>
        <w:t xml:space="preserve">. </w:t>
      </w:r>
    </w:p>
    <w:p w14:paraId="6F77509A" w14:textId="77777777" w:rsidR="007777E4" w:rsidRDefault="007777E4" w:rsidP="007777E4">
      <w:pPr>
        <w:pStyle w:val="a0"/>
        <w:overflowPunct w:val="0"/>
        <w:autoSpaceDE w:val="0"/>
        <w:autoSpaceDN w:val="0"/>
        <w:adjustRightInd w:val="0"/>
        <w:textAlignment w:val="baseline"/>
        <w:rPr>
          <w:sz w:val="21"/>
          <w:szCs w:val="21"/>
          <w:lang w:eastAsia="zh-CN"/>
        </w:rPr>
      </w:pPr>
      <w:r w:rsidRPr="00775E09">
        <w:rPr>
          <w:sz w:val="21"/>
          <w:szCs w:val="21"/>
          <w:lang w:eastAsia="zh-CN"/>
        </w:rPr>
        <w:softHyphen/>
      </w:r>
      <w:r>
        <w:rPr>
          <w:sz w:val="21"/>
          <w:szCs w:val="21"/>
          <w:lang w:eastAsia="zh-CN"/>
        </w:rPr>
        <w:t>In general, option 1 and 3 trying to avoid simultaneous transmission for LTE and NR while option 2 and 4 allows the simultaneous transmission in case NR has single port UL transmission. Given that simultaneous LTE and NR transmission has been supported in regular EN-DC operation without carrier switching gap, and the carrier switching feature intends to maximum the throughput on NR carrier by 2Tx transmission, we prefer to not allow simultaneous LTE and NR transmissions. The use of Rel-15 or Rel-16 TDM pattern can be based on the UE capability. Therefore, we have:</w:t>
      </w:r>
    </w:p>
    <w:p w14:paraId="4F5C202D" w14:textId="332C94AC" w:rsidR="007777E4" w:rsidRPr="00850707" w:rsidRDefault="007777E4" w:rsidP="007777E4">
      <w:pPr>
        <w:pStyle w:val="a0"/>
        <w:overflowPunct w:val="0"/>
        <w:autoSpaceDE w:val="0"/>
        <w:autoSpaceDN w:val="0"/>
        <w:adjustRightInd w:val="0"/>
        <w:textAlignment w:val="baseline"/>
        <w:rPr>
          <w:b/>
          <w:sz w:val="21"/>
          <w:szCs w:val="21"/>
          <w:lang w:eastAsia="zh-CN"/>
        </w:rPr>
      </w:pPr>
      <w:r w:rsidRPr="00850707">
        <w:rPr>
          <w:b/>
          <w:sz w:val="21"/>
          <w:szCs w:val="21"/>
          <w:u w:val="single"/>
          <w:lang w:eastAsia="zh-CN"/>
        </w:rPr>
        <w:t xml:space="preserve">Proposal </w:t>
      </w:r>
      <w:r w:rsidR="00A5743C">
        <w:rPr>
          <w:b/>
          <w:sz w:val="21"/>
          <w:szCs w:val="21"/>
          <w:u w:val="single"/>
          <w:lang w:eastAsia="zh-CN"/>
        </w:rPr>
        <w:t>2</w:t>
      </w:r>
      <w:r w:rsidRPr="00850707">
        <w:rPr>
          <w:b/>
          <w:sz w:val="21"/>
          <w:szCs w:val="21"/>
          <w:u w:val="single"/>
          <w:lang w:eastAsia="zh-CN"/>
        </w:rPr>
        <w:t xml:space="preserve">: </w:t>
      </w:r>
      <w:r w:rsidRPr="00850707">
        <w:rPr>
          <w:sz w:val="21"/>
          <w:szCs w:val="21"/>
          <w:lang w:eastAsia="zh-CN"/>
        </w:rPr>
        <w:t>For EN-DC, support following options as UE capability</w:t>
      </w:r>
      <w:r w:rsidRPr="00850707">
        <w:rPr>
          <w:b/>
          <w:sz w:val="21"/>
          <w:szCs w:val="21"/>
          <w:lang w:eastAsia="zh-CN"/>
        </w:rPr>
        <w:t xml:space="preserve"> </w:t>
      </w:r>
    </w:p>
    <w:p w14:paraId="1C4B3E7C" w14:textId="77777777" w:rsidR="007777E4" w:rsidRPr="00C12D3F" w:rsidRDefault="007777E4" w:rsidP="007777E4">
      <w:pPr>
        <w:numPr>
          <w:ilvl w:val="0"/>
          <w:numId w:val="9"/>
        </w:numPr>
        <w:overflowPunct w:val="0"/>
        <w:autoSpaceDE w:val="0"/>
        <w:autoSpaceDN w:val="0"/>
        <w:adjustRightInd w:val="0"/>
        <w:snapToGrid w:val="0"/>
        <w:spacing w:after="100"/>
        <w:textAlignment w:val="baseline"/>
        <w:rPr>
          <w:sz w:val="21"/>
          <w:szCs w:val="21"/>
          <w:lang w:eastAsia="zh-CN"/>
        </w:rPr>
      </w:pPr>
      <w:r w:rsidRPr="00C12D3F">
        <w:rPr>
          <w:sz w:val="21"/>
          <w:szCs w:val="21"/>
          <w:lang w:eastAsia="zh-CN"/>
        </w:rPr>
        <w:t>Option 1: Reuse Rel-15 EN-DC HARQ timing case 1 with FDD PCell</w:t>
      </w:r>
    </w:p>
    <w:p w14:paraId="0DA8D040" w14:textId="77777777" w:rsidR="007777E4" w:rsidRDefault="007777E4" w:rsidP="007777E4">
      <w:pPr>
        <w:numPr>
          <w:ilvl w:val="1"/>
          <w:numId w:val="28"/>
        </w:numPr>
        <w:overflowPunct w:val="0"/>
        <w:autoSpaceDE w:val="0"/>
        <w:autoSpaceDN w:val="0"/>
        <w:adjustRightInd w:val="0"/>
        <w:snapToGrid w:val="0"/>
        <w:spacing w:after="100"/>
        <w:textAlignment w:val="baseline"/>
        <w:rPr>
          <w:sz w:val="21"/>
          <w:szCs w:val="21"/>
          <w:lang w:eastAsia="zh-CN"/>
        </w:rPr>
      </w:pPr>
      <w:r w:rsidRPr="00C710E1">
        <w:rPr>
          <w:sz w:val="21"/>
          <w:szCs w:val="21"/>
          <w:lang w:eastAsia="zh-CN"/>
        </w:rPr>
        <w:t>UE assumes always Case 1 in LTE subframes designated as UL in the reference DL/UL configuration and Case 2 in the remaining subframes</w:t>
      </w:r>
      <w:r>
        <w:rPr>
          <w:sz w:val="21"/>
          <w:szCs w:val="21"/>
          <w:lang w:eastAsia="zh-CN"/>
        </w:rPr>
        <w:t xml:space="preserve">. </w:t>
      </w:r>
    </w:p>
    <w:p w14:paraId="2049D961" w14:textId="77777777" w:rsidR="007777E4" w:rsidRDefault="007777E4" w:rsidP="007777E4">
      <w:pPr>
        <w:numPr>
          <w:ilvl w:val="2"/>
          <w:numId w:val="28"/>
        </w:numPr>
        <w:overflowPunct w:val="0"/>
        <w:autoSpaceDE w:val="0"/>
        <w:autoSpaceDN w:val="0"/>
        <w:adjustRightInd w:val="0"/>
        <w:snapToGrid w:val="0"/>
        <w:spacing w:after="100"/>
        <w:textAlignment w:val="baseline"/>
        <w:rPr>
          <w:sz w:val="21"/>
          <w:szCs w:val="21"/>
          <w:lang w:eastAsia="zh-CN"/>
        </w:rPr>
      </w:pPr>
      <w:r>
        <w:rPr>
          <w:sz w:val="21"/>
          <w:szCs w:val="21"/>
          <w:lang w:eastAsia="zh-CN"/>
        </w:rPr>
        <w:t>UE is not expected to transmit in NR for Case 1.</w:t>
      </w:r>
    </w:p>
    <w:p w14:paraId="4C252592" w14:textId="77777777" w:rsidR="007777E4" w:rsidRPr="004155B0" w:rsidRDefault="007777E4" w:rsidP="007777E4">
      <w:pPr>
        <w:numPr>
          <w:ilvl w:val="1"/>
          <w:numId w:val="28"/>
        </w:numPr>
        <w:overflowPunct w:val="0"/>
        <w:autoSpaceDE w:val="0"/>
        <w:autoSpaceDN w:val="0"/>
        <w:adjustRightInd w:val="0"/>
        <w:snapToGrid w:val="0"/>
        <w:spacing w:after="100"/>
        <w:textAlignment w:val="baseline"/>
        <w:rPr>
          <w:sz w:val="21"/>
          <w:szCs w:val="21"/>
          <w:lang w:eastAsia="zh-CN"/>
        </w:rPr>
      </w:pPr>
      <w:r w:rsidRPr="00C710E1">
        <w:rPr>
          <w:sz w:val="21"/>
          <w:szCs w:val="21"/>
          <w:lang w:eastAsia="zh-CN"/>
        </w:rPr>
        <w:t>No change to LTE operation</w:t>
      </w:r>
      <w:r>
        <w:rPr>
          <w:sz w:val="21"/>
          <w:szCs w:val="21"/>
          <w:lang w:eastAsia="zh-CN"/>
        </w:rPr>
        <w:t>.</w:t>
      </w:r>
    </w:p>
    <w:p w14:paraId="481F28E1" w14:textId="77777777" w:rsidR="007777E4" w:rsidRPr="00C12D3F" w:rsidRDefault="007777E4" w:rsidP="007777E4">
      <w:pPr>
        <w:numPr>
          <w:ilvl w:val="0"/>
          <w:numId w:val="9"/>
        </w:numPr>
        <w:overflowPunct w:val="0"/>
        <w:autoSpaceDE w:val="0"/>
        <w:autoSpaceDN w:val="0"/>
        <w:adjustRightInd w:val="0"/>
        <w:snapToGrid w:val="0"/>
        <w:spacing w:after="100"/>
        <w:textAlignment w:val="baseline"/>
        <w:rPr>
          <w:sz w:val="21"/>
          <w:szCs w:val="21"/>
          <w:lang w:eastAsia="zh-CN"/>
        </w:rPr>
      </w:pPr>
      <w:r>
        <w:rPr>
          <w:sz w:val="21"/>
          <w:szCs w:val="21"/>
          <w:lang w:eastAsia="zh-CN"/>
        </w:rPr>
        <w:t>Option 3</w:t>
      </w:r>
      <w:r w:rsidRPr="00C12D3F">
        <w:rPr>
          <w:sz w:val="21"/>
          <w:szCs w:val="21"/>
          <w:lang w:eastAsia="zh-CN"/>
        </w:rPr>
        <w:t>: Reuse Rel-16 EN-DC HARQ timing case 1 with FDD PCell</w:t>
      </w:r>
    </w:p>
    <w:p w14:paraId="6E702D95" w14:textId="77777777" w:rsidR="007777E4" w:rsidRDefault="007777E4" w:rsidP="007777E4">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t>UE assumes always Case 1 in both LTE subframes designated as UL in the reference DL/UL configuration and subframes where LTE PRACH is transmitting, and always assume Case 2 in the remaining subframes</w:t>
      </w:r>
      <w:r>
        <w:rPr>
          <w:sz w:val="21"/>
          <w:szCs w:val="21"/>
          <w:lang w:eastAsia="zh-CN"/>
        </w:rPr>
        <w:t xml:space="preserve">. </w:t>
      </w:r>
    </w:p>
    <w:p w14:paraId="609191E8" w14:textId="77777777" w:rsidR="007777E4" w:rsidRDefault="007777E4" w:rsidP="007777E4">
      <w:pPr>
        <w:numPr>
          <w:ilvl w:val="2"/>
          <w:numId w:val="28"/>
        </w:numPr>
        <w:overflowPunct w:val="0"/>
        <w:autoSpaceDE w:val="0"/>
        <w:autoSpaceDN w:val="0"/>
        <w:adjustRightInd w:val="0"/>
        <w:snapToGrid w:val="0"/>
        <w:spacing w:after="100"/>
        <w:textAlignment w:val="baseline"/>
        <w:rPr>
          <w:sz w:val="21"/>
          <w:szCs w:val="21"/>
          <w:lang w:eastAsia="zh-CN"/>
        </w:rPr>
      </w:pPr>
      <w:r>
        <w:rPr>
          <w:sz w:val="21"/>
          <w:szCs w:val="21"/>
          <w:lang w:eastAsia="zh-CN"/>
        </w:rPr>
        <w:t>UE is not expected to transmit in NR for Case 1.</w:t>
      </w:r>
    </w:p>
    <w:p w14:paraId="4B9756F5" w14:textId="77777777" w:rsidR="007777E4" w:rsidRDefault="007777E4" w:rsidP="007777E4">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softHyphen/>
        <w:t>No change to LTE operation</w:t>
      </w:r>
      <w:r>
        <w:rPr>
          <w:sz w:val="21"/>
          <w:szCs w:val="21"/>
          <w:lang w:eastAsia="zh-CN"/>
        </w:rPr>
        <w:t xml:space="preserve">. </w:t>
      </w:r>
    </w:p>
    <w:p w14:paraId="07EFE181" w14:textId="77777777" w:rsidR="007777E4" w:rsidRDefault="007777E4" w:rsidP="007777E4">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lastRenderedPageBreak/>
        <w:t>UE PRACH resource configurations are not limited to the uplink subframes given by the HARQ timing case 1 configuration</w:t>
      </w:r>
      <w:r>
        <w:rPr>
          <w:sz w:val="21"/>
          <w:szCs w:val="21"/>
          <w:lang w:eastAsia="zh-CN"/>
        </w:rPr>
        <w:t xml:space="preserve">. </w:t>
      </w:r>
    </w:p>
    <w:p w14:paraId="18AAC5F1" w14:textId="77777777" w:rsidR="007777E4" w:rsidRPr="004155B0" w:rsidRDefault="007777E4" w:rsidP="007777E4">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softHyphen/>
        <w:t>For UE capable of dynamic power sharing, if the UE’s LTE PRACH transmission collides with NR uplink transmission, LTE uplink transmission is prioritized.</w:t>
      </w:r>
    </w:p>
    <w:p w14:paraId="36475A5C" w14:textId="77777777" w:rsidR="0090621C" w:rsidRPr="007777E4" w:rsidRDefault="0090621C" w:rsidP="00467808">
      <w:pPr>
        <w:pStyle w:val="a0"/>
        <w:tabs>
          <w:tab w:val="num" w:pos="226"/>
          <w:tab w:val="num" w:pos="284"/>
          <w:tab w:val="left" w:pos="5103"/>
        </w:tabs>
        <w:snapToGrid w:val="0"/>
        <w:spacing w:beforeLines="50" w:before="120"/>
        <w:rPr>
          <w:rFonts w:eastAsia="宋体" w:hint="eastAsia"/>
          <w:sz w:val="21"/>
          <w:szCs w:val="21"/>
          <w:u w:val="single"/>
          <w:lang w:eastAsia="zh-CN"/>
        </w:rPr>
      </w:pPr>
    </w:p>
    <w:p w14:paraId="1AA21AF5" w14:textId="77777777"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57F0FB20" w14:textId="011A33AB" w:rsidR="00086374" w:rsidRDefault="00810396" w:rsidP="008C34A1">
      <w:pPr>
        <w:pStyle w:val="a0"/>
        <w:spacing w:before="120"/>
        <w:rPr>
          <w:rFonts w:ascii="Times New Roman" w:eastAsiaTheme="minorEastAsia" w:hAnsi="Times New Roman"/>
          <w:lang w:val="en-GB" w:eastAsia="zh-CN"/>
        </w:rPr>
      </w:pPr>
      <w:r>
        <w:rPr>
          <w:rFonts w:ascii="Times New Roman" w:eastAsiaTheme="minorEastAsia" w:hAnsi="Times New Roman" w:hint="eastAsia"/>
          <w:lang w:val="en-GB" w:eastAsia="zh-CN"/>
        </w:rPr>
        <w:t xml:space="preserve">In this contribution, we discuss the </w:t>
      </w:r>
      <w:r w:rsidR="00A5743C">
        <w:rPr>
          <w:rFonts w:ascii="Times New Roman" w:eastAsiaTheme="minorEastAsia" w:hAnsi="Times New Roman"/>
          <w:lang w:val="en-GB" w:eastAsia="zh-CN"/>
        </w:rPr>
        <w:t>remaining issues</w:t>
      </w:r>
      <w:r w:rsidR="00706309">
        <w:rPr>
          <w:rFonts w:ascii="Times New Roman" w:eastAsiaTheme="minorEastAsia" w:hAnsi="Times New Roman" w:hint="eastAsia"/>
          <w:lang w:val="en-GB" w:eastAsia="zh-CN"/>
        </w:rPr>
        <w:t xml:space="preserve"> to support TDM switching between 1Tx and 2Tx UL carriers, and have following proposals:</w:t>
      </w:r>
    </w:p>
    <w:p w14:paraId="653CCA8F" w14:textId="41593744" w:rsidR="00A5743C" w:rsidRPr="00467808" w:rsidRDefault="00A5743C" w:rsidP="00A5743C">
      <w:pPr>
        <w:overflowPunct w:val="0"/>
        <w:autoSpaceDE w:val="0"/>
        <w:autoSpaceDN w:val="0"/>
        <w:snapToGrid w:val="0"/>
        <w:spacing w:after="100"/>
        <w:rPr>
          <w:sz w:val="22"/>
          <w:szCs w:val="21"/>
        </w:rPr>
      </w:pPr>
      <w:bookmarkStart w:id="2" w:name="_Ref510367705"/>
      <w:bookmarkStart w:id="3" w:name="_Ref503565490"/>
      <w:bookmarkStart w:id="4" w:name="_Ref493791948"/>
      <w:bookmarkStart w:id="5" w:name="_Ref503565531"/>
      <w:bookmarkStart w:id="6" w:name="_GoBack"/>
      <w:bookmarkEnd w:id="6"/>
      <w:r w:rsidRPr="00FE684C">
        <w:rPr>
          <w:rFonts w:eastAsia="宋体"/>
          <w:b/>
          <w:sz w:val="21"/>
          <w:szCs w:val="21"/>
          <w:u w:val="single"/>
          <w:lang w:val="en-GB" w:eastAsia="zh-CN"/>
        </w:rPr>
        <w:t xml:space="preserve">Proposal 1: </w:t>
      </w:r>
      <w:r w:rsidRPr="00467808">
        <w:rPr>
          <w:sz w:val="22"/>
          <w:szCs w:val="21"/>
        </w:rPr>
        <w:t>The presence of the switching period i</w:t>
      </w:r>
      <w:r>
        <w:rPr>
          <w:sz w:val="22"/>
          <w:szCs w:val="21"/>
        </w:rPr>
        <w:t xml:space="preserve">s determined once per UL phase, where UL phase is defined as a set of contiguous UL slots in the carrier 2. </w:t>
      </w:r>
    </w:p>
    <w:p w14:paraId="5A1E8121" w14:textId="77777777" w:rsidR="00A5743C" w:rsidRPr="00850707" w:rsidRDefault="00A5743C" w:rsidP="00A5743C">
      <w:pPr>
        <w:pStyle w:val="a0"/>
        <w:overflowPunct w:val="0"/>
        <w:autoSpaceDE w:val="0"/>
        <w:autoSpaceDN w:val="0"/>
        <w:adjustRightInd w:val="0"/>
        <w:textAlignment w:val="baseline"/>
        <w:rPr>
          <w:b/>
          <w:sz w:val="21"/>
          <w:szCs w:val="21"/>
          <w:lang w:eastAsia="zh-CN"/>
        </w:rPr>
      </w:pPr>
      <w:r w:rsidRPr="00850707">
        <w:rPr>
          <w:b/>
          <w:sz w:val="21"/>
          <w:szCs w:val="21"/>
          <w:u w:val="single"/>
          <w:lang w:eastAsia="zh-CN"/>
        </w:rPr>
        <w:t xml:space="preserve">Proposal </w:t>
      </w:r>
      <w:r>
        <w:rPr>
          <w:b/>
          <w:sz w:val="21"/>
          <w:szCs w:val="21"/>
          <w:u w:val="single"/>
          <w:lang w:eastAsia="zh-CN"/>
        </w:rPr>
        <w:t>2</w:t>
      </w:r>
      <w:r w:rsidRPr="00850707">
        <w:rPr>
          <w:b/>
          <w:sz w:val="21"/>
          <w:szCs w:val="21"/>
          <w:u w:val="single"/>
          <w:lang w:eastAsia="zh-CN"/>
        </w:rPr>
        <w:t xml:space="preserve">: </w:t>
      </w:r>
      <w:r w:rsidRPr="00850707">
        <w:rPr>
          <w:sz w:val="21"/>
          <w:szCs w:val="21"/>
          <w:lang w:eastAsia="zh-CN"/>
        </w:rPr>
        <w:t>For EN-DC, support following options as UE capability</w:t>
      </w:r>
      <w:r w:rsidRPr="00850707">
        <w:rPr>
          <w:b/>
          <w:sz w:val="21"/>
          <w:szCs w:val="21"/>
          <w:lang w:eastAsia="zh-CN"/>
        </w:rPr>
        <w:t xml:space="preserve"> </w:t>
      </w:r>
    </w:p>
    <w:p w14:paraId="5F4CBACF" w14:textId="77777777" w:rsidR="00A5743C" w:rsidRPr="00C12D3F" w:rsidRDefault="00A5743C" w:rsidP="00A5743C">
      <w:pPr>
        <w:numPr>
          <w:ilvl w:val="0"/>
          <w:numId w:val="9"/>
        </w:numPr>
        <w:overflowPunct w:val="0"/>
        <w:autoSpaceDE w:val="0"/>
        <w:autoSpaceDN w:val="0"/>
        <w:adjustRightInd w:val="0"/>
        <w:snapToGrid w:val="0"/>
        <w:spacing w:after="100"/>
        <w:textAlignment w:val="baseline"/>
        <w:rPr>
          <w:sz w:val="21"/>
          <w:szCs w:val="21"/>
          <w:lang w:eastAsia="zh-CN"/>
        </w:rPr>
      </w:pPr>
      <w:r w:rsidRPr="00C12D3F">
        <w:rPr>
          <w:sz w:val="21"/>
          <w:szCs w:val="21"/>
          <w:lang w:eastAsia="zh-CN"/>
        </w:rPr>
        <w:t>Option 1: Reuse Rel-15 EN-DC HARQ timing case 1 with FDD PCell</w:t>
      </w:r>
    </w:p>
    <w:p w14:paraId="1DA77FA7" w14:textId="77777777" w:rsidR="00A5743C" w:rsidRDefault="00A5743C" w:rsidP="00A5743C">
      <w:pPr>
        <w:numPr>
          <w:ilvl w:val="1"/>
          <w:numId w:val="28"/>
        </w:numPr>
        <w:overflowPunct w:val="0"/>
        <w:autoSpaceDE w:val="0"/>
        <w:autoSpaceDN w:val="0"/>
        <w:adjustRightInd w:val="0"/>
        <w:snapToGrid w:val="0"/>
        <w:spacing w:after="100"/>
        <w:textAlignment w:val="baseline"/>
        <w:rPr>
          <w:sz w:val="21"/>
          <w:szCs w:val="21"/>
          <w:lang w:eastAsia="zh-CN"/>
        </w:rPr>
      </w:pPr>
      <w:r w:rsidRPr="00C710E1">
        <w:rPr>
          <w:sz w:val="21"/>
          <w:szCs w:val="21"/>
          <w:lang w:eastAsia="zh-CN"/>
        </w:rPr>
        <w:t>UE assumes always Case 1 in LTE subframes designated as UL in the reference DL/UL configuration and Case 2 in the remaining subframes</w:t>
      </w:r>
      <w:r>
        <w:rPr>
          <w:sz w:val="21"/>
          <w:szCs w:val="21"/>
          <w:lang w:eastAsia="zh-CN"/>
        </w:rPr>
        <w:t xml:space="preserve">. </w:t>
      </w:r>
    </w:p>
    <w:p w14:paraId="3DD8E516" w14:textId="77777777" w:rsidR="00A5743C" w:rsidRDefault="00A5743C" w:rsidP="00A5743C">
      <w:pPr>
        <w:numPr>
          <w:ilvl w:val="2"/>
          <w:numId w:val="28"/>
        </w:numPr>
        <w:overflowPunct w:val="0"/>
        <w:autoSpaceDE w:val="0"/>
        <w:autoSpaceDN w:val="0"/>
        <w:adjustRightInd w:val="0"/>
        <w:snapToGrid w:val="0"/>
        <w:spacing w:after="100"/>
        <w:textAlignment w:val="baseline"/>
        <w:rPr>
          <w:sz w:val="21"/>
          <w:szCs w:val="21"/>
          <w:lang w:eastAsia="zh-CN"/>
        </w:rPr>
      </w:pPr>
      <w:r>
        <w:rPr>
          <w:sz w:val="21"/>
          <w:szCs w:val="21"/>
          <w:lang w:eastAsia="zh-CN"/>
        </w:rPr>
        <w:t>UE is not expected to transmit in NR for Case 1.</w:t>
      </w:r>
    </w:p>
    <w:p w14:paraId="44D95868" w14:textId="77777777" w:rsidR="00A5743C" w:rsidRPr="004155B0" w:rsidRDefault="00A5743C" w:rsidP="00A5743C">
      <w:pPr>
        <w:numPr>
          <w:ilvl w:val="1"/>
          <w:numId w:val="28"/>
        </w:numPr>
        <w:overflowPunct w:val="0"/>
        <w:autoSpaceDE w:val="0"/>
        <w:autoSpaceDN w:val="0"/>
        <w:adjustRightInd w:val="0"/>
        <w:snapToGrid w:val="0"/>
        <w:spacing w:after="100"/>
        <w:textAlignment w:val="baseline"/>
        <w:rPr>
          <w:sz w:val="21"/>
          <w:szCs w:val="21"/>
          <w:lang w:eastAsia="zh-CN"/>
        </w:rPr>
      </w:pPr>
      <w:r w:rsidRPr="00C710E1">
        <w:rPr>
          <w:sz w:val="21"/>
          <w:szCs w:val="21"/>
          <w:lang w:eastAsia="zh-CN"/>
        </w:rPr>
        <w:t>No change to LTE operation</w:t>
      </w:r>
      <w:r>
        <w:rPr>
          <w:sz w:val="21"/>
          <w:szCs w:val="21"/>
          <w:lang w:eastAsia="zh-CN"/>
        </w:rPr>
        <w:t>.</w:t>
      </w:r>
    </w:p>
    <w:p w14:paraId="61215855" w14:textId="77777777" w:rsidR="00A5743C" w:rsidRPr="00C12D3F" w:rsidRDefault="00A5743C" w:rsidP="00A5743C">
      <w:pPr>
        <w:numPr>
          <w:ilvl w:val="0"/>
          <w:numId w:val="9"/>
        </w:numPr>
        <w:overflowPunct w:val="0"/>
        <w:autoSpaceDE w:val="0"/>
        <w:autoSpaceDN w:val="0"/>
        <w:adjustRightInd w:val="0"/>
        <w:snapToGrid w:val="0"/>
        <w:spacing w:after="100"/>
        <w:textAlignment w:val="baseline"/>
        <w:rPr>
          <w:sz w:val="21"/>
          <w:szCs w:val="21"/>
          <w:lang w:eastAsia="zh-CN"/>
        </w:rPr>
      </w:pPr>
      <w:r>
        <w:rPr>
          <w:sz w:val="21"/>
          <w:szCs w:val="21"/>
          <w:lang w:eastAsia="zh-CN"/>
        </w:rPr>
        <w:t>Option 3</w:t>
      </w:r>
      <w:r w:rsidRPr="00C12D3F">
        <w:rPr>
          <w:sz w:val="21"/>
          <w:szCs w:val="21"/>
          <w:lang w:eastAsia="zh-CN"/>
        </w:rPr>
        <w:t>: Reuse Rel-16 EN-DC HARQ timing case 1 with FDD PCell</w:t>
      </w:r>
    </w:p>
    <w:p w14:paraId="5746AAD1" w14:textId="77777777" w:rsidR="00A5743C" w:rsidRDefault="00A5743C" w:rsidP="00A5743C">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t>UE assumes always Case 1 in both LTE subframes designated as UL in the reference DL/UL configuration and subframes where LTE PRACH is transmitting, and always assume Case 2 in the remaining subframes</w:t>
      </w:r>
      <w:r>
        <w:rPr>
          <w:sz w:val="21"/>
          <w:szCs w:val="21"/>
          <w:lang w:eastAsia="zh-CN"/>
        </w:rPr>
        <w:t xml:space="preserve">. </w:t>
      </w:r>
    </w:p>
    <w:p w14:paraId="4D13EA05" w14:textId="77777777" w:rsidR="00A5743C" w:rsidRDefault="00A5743C" w:rsidP="00A5743C">
      <w:pPr>
        <w:numPr>
          <w:ilvl w:val="2"/>
          <w:numId w:val="28"/>
        </w:numPr>
        <w:overflowPunct w:val="0"/>
        <w:autoSpaceDE w:val="0"/>
        <w:autoSpaceDN w:val="0"/>
        <w:adjustRightInd w:val="0"/>
        <w:snapToGrid w:val="0"/>
        <w:spacing w:after="100"/>
        <w:textAlignment w:val="baseline"/>
        <w:rPr>
          <w:sz w:val="21"/>
          <w:szCs w:val="21"/>
          <w:lang w:eastAsia="zh-CN"/>
        </w:rPr>
      </w:pPr>
      <w:r>
        <w:rPr>
          <w:sz w:val="21"/>
          <w:szCs w:val="21"/>
          <w:lang w:eastAsia="zh-CN"/>
        </w:rPr>
        <w:t>UE is not expected to transmit in NR for Case 1.</w:t>
      </w:r>
    </w:p>
    <w:p w14:paraId="10059058" w14:textId="77777777" w:rsidR="00A5743C" w:rsidRDefault="00A5743C" w:rsidP="00A5743C">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softHyphen/>
        <w:t>No change to LTE operation</w:t>
      </w:r>
      <w:r>
        <w:rPr>
          <w:sz w:val="21"/>
          <w:szCs w:val="21"/>
          <w:lang w:eastAsia="zh-CN"/>
        </w:rPr>
        <w:t xml:space="preserve">. </w:t>
      </w:r>
    </w:p>
    <w:p w14:paraId="407F413B" w14:textId="77777777" w:rsidR="00A5743C" w:rsidRDefault="00A5743C" w:rsidP="00A5743C">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t>UE PRACH resource configurations are not limited to the uplink subframes given by the HARQ timing case 1 configuration</w:t>
      </w:r>
      <w:r>
        <w:rPr>
          <w:sz w:val="21"/>
          <w:szCs w:val="21"/>
          <w:lang w:eastAsia="zh-CN"/>
        </w:rPr>
        <w:t xml:space="preserve">. </w:t>
      </w:r>
    </w:p>
    <w:p w14:paraId="6CF6564A" w14:textId="77777777" w:rsidR="00A5743C" w:rsidRPr="004155B0" w:rsidRDefault="00A5743C" w:rsidP="00A5743C">
      <w:pPr>
        <w:numPr>
          <w:ilvl w:val="1"/>
          <w:numId w:val="28"/>
        </w:numPr>
        <w:overflowPunct w:val="0"/>
        <w:autoSpaceDE w:val="0"/>
        <w:autoSpaceDN w:val="0"/>
        <w:adjustRightInd w:val="0"/>
        <w:snapToGrid w:val="0"/>
        <w:spacing w:after="100"/>
        <w:textAlignment w:val="baseline"/>
        <w:rPr>
          <w:sz w:val="21"/>
          <w:szCs w:val="21"/>
          <w:lang w:eastAsia="zh-CN"/>
        </w:rPr>
      </w:pPr>
      <w:r w:rsidRPr="00775E09">
        <w:rPr>
          <w:sz w:val="21"/>
          <w:szCs w:val="21"/>
          <w:lang w:eastAsia="zh-CN"/>
        </w:rPr>
        <w:softHyphen/>
        <w:t>For UE capable of dynamic power sharing, if the UE’s LTE PRACH transmission collides with NR uplink transmission, LTE uplink transmission is prioritized.</w:t>
      </w:r>
    </w:p>
    <w:p w14:paraId="59C20AF3" w14:textId="02A6E6B6" w:rsidR="00BB6332" w:rsidRPr="00A5743C" w:rsidRDefault="00BB6332" w:rsidP="00BB6332">
      <w:pPr>
        <w:pStyle w:val="a0"/>
        <w:rPr>
          <w:rFonts w:eastAsia="宋体"/>
          <w:b/>
          <w:lang w:eastAsia="zh-CN"/>
        </w:rPr>
      </w:pPr>
    </w:p>
    <w:p w14:paraId="57E41432" w14:textId="77777777" w:rsidR="00BB6332" w:rsidRPr="00A5743C" w:rsidRDefault="00BB6332" w:rsidP="00BB6332">
      <w:pPr>
        <w:overflowPunct w:val="0"/>
        <w:autoSpaceDE w:val="0"/>
        <w:autoSpaceDN w:val="0"/>
        <w:adjustRightInd w:val="0"/>
        <w:snapToGrid w:val="0"/>
        <w:spacing w:after="100"/>
        <w:textAlignment w:val="baseline"/>
        <w:rPr>
          <w:sz w:val="21"/>
          <w:szCs w:val="21"/>
          <w:lang w:eastAsia="zh-CN"/>
        </w:rPr>
      </w:pPr>
    </w:p>
    <w:bookmarkEnd w:id="2"/>
    <w:bookmarkEnd w:id="3"/>
    <w:bookmarkEnd w:id="4"/>
    <w:bookmarkEnd w:id="5"/>
    <w:p w14:paraId="7D78AD1B" w14:textId="77777777" w:rsidR="007F4C74" w:rsidRPr="00203CE9" w:rsidRDefault="007F4C74" w:rsidP="00F97727">
      <w:pPr>
        <w:pStyle w:val="a0"/>
        <w:spacing w:after="0"/>
        <w:rPr>
          <w:rFonts w:eastAsia="宋体"/>
          <w:lang w:eastAsia="zh-CN"/>
        </w:rPr>
      </w:pPr>
    </w:p>
    <w:sectPr w:rsidR="007F4C74" w:rsidRPr="00203CE9" w:rsidSect="00AD257F">
      <w:footerReference w:type="default" r:id="rId8"/>
      <w:type w:val="continuous"/>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ACE44" w14:textId="77777777" w:rsidR="00244D3F" w:rsidRDefault="00244D3F">
      <w:r>
        <w:separator/>
      </w:r>
    </w:p>
  </w:endnote>
  <w:endnote w:type="continuationSeparator" w:id="0">
    <w:p w14:paraId="3416C6E3" w14:textId="77777777" w:rsidR="00244D3F" w:rsidRDefault="00244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5CDC9" w14:textId="7F54ABF5" w:rsidR="0087753E" w:rsidRPr="00E7456F" w:rsidRDefault="0087753E" w:rsidP="00E7456F">
    <w:pPr>
      <w:pStyle w:val="ab"/>
      <w:jc w:val="center"/>
    </w:pPr>
    <w:r>
      <w:rPr>
        <w:rStyle w:val="ac"/>
      </w:rPr>
      <w:fldChar w:fldCharType="begin"/>
    </w:r>
    <w:r>
      <w:rPr>
        <w:rStyle w:val="ac"/>
      </w:rPr>
      <w:instrText xml:space="preserve"> PAGE </w:instrText>
    </w:r>
    <w:r>
      <w:rPr>
        <w:rStyle w:val="ac"/>
      </w:rPr>
      <w:fldChar w:fldCharType="separate"/>
    </w:r>
    <w:r w:rsidR="00A5743C">
      <w:rPr>
        <w:rStyle w:val="ac"/>
        <w:noProof/>
      </w:rPr>
      <w:t>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A5743C">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BDAF9" w14:textId="77777777" w:rsidR="00244D3F" w:rsidRDefault="00244D3F">
      <w:r>
        <w:separator/>
      </w:r>
    </w:p>
  </w:footnote>
  <w:footnote w:type="continuationSeparator" w:id="0">
    <w:p w14:paraId="5858F100" w14:textId="77777777" w:rsidR="00244D3F" w:rsidRDefault="00244D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7005EE"/>
    <w:multiLevelType w:val="hybridMultilevel"/>
    <w:tmpl w:val="56F468A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94602D"/>
    <w:multiLevelType w:val="hybridMultilevel"/>
    <w:tmpl w:val="B63ED996"/>
    <w:lvl w:ilvl="0" w:tplc="E4646A06">
      <w:start w:val="1"/>
      <w:numFmt w:val="bullet"/>
      <w:lvlText w:val="•"/>
      <w:lvlJc w:val="left"/>
      <w:pPr>
        <w:ind w:left="1130" w:hanging="420"/>
      </w:pPr>
      <w:rPr>
        <w:rFonts w:ascii="Arial" w:hAnsi="Arial" w:cs="Times New Roman"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3" w15:restartNumberingAfterBreak="0">
    <w:nsid w:val="03AD4185"/>
    <w:multiLevelType w:val="hybridMultilevel"/>
    <w:tmpl w:val="9E9AEB78"/>
    <w:lvl w:ilvl="0" w:tplc="12D03990">
      <w:start w:val="1"/>
      <w:numFmt w:val="bullet"/>
      <w:lvlText w:val=""/>
      <w:lvlJc w:val="left"/>
      <w:pPr>
        <w:tabs>
          <w:tab w:val="num" w:pos="720"/>
        </w:tabs>
        <w:ind w:left="720" w:hanging="360"/>
      </w:pPr>
      <w:rPr>
        <w:rFonts w:ascii="Wingdings" w:hAnsi="Wingdings" w:hint="default"/>
      </w:rPr>
    </w:lvl>
    <w:lvl w:ilvl="1" w:tplc="9528B38E">
      <w:start w:val="20635"/>
      <w:numFmt w:val="bullet"/>
      <w:lvlText w:val="»"/>
      <w:lvlJc w:val="left"/>
      <w:pPr>
        <w:tabs>
          <w:tab w:val="num" w:pos="1440"/>
        </w:tabs>
        <w:ind w:left="1440" w:hanging="360"/>
      </w:pPr>
      <w:rPr>
        <w:rFonts w:ascii="Arial" w:hAnsi="Arial" w:hint="default"/>
      </w:rPr>
    </w:lvl>
    <w:lvl w:ilvl="2" w:tplc="0592122C">
      <w:start w:val="20635"/>
      <w:numFmt w:val="bullet"/>
      <w:lvlText w:val="•"/>
      <w:lvlJc w:val="left"/>
      <w:pPr>
        <w:tabs>
          <w:tab w:val="num" w:pos="2160"/>
        </w:tabs>
        <w:ind w:left="2160" w:hanging="360"/>
      </w:pPr>
      <w:rPr>
        <w:rFonts w:ascii="Arial" w:hAnsi="Arial" w:hint="default"/>
      </w:rPr>
    </w:lvl>
    <w:lvl w:ilvl="3" w:tplc="6EEA7638" w:tentative="1">
      <w:start w:val="1"/>
      <w:numFmt w:val="bullet"/>
      <w:lvlText w:val=""/>
      <w:lvlJc w:val="left"/>
      <w:pPr>
        <w:tabs>
          <w:tab w:val="num" w:pos="2880"/>
        </w:tabs>
        <w:ind w:left="2880" w:hanging="360"/>
      </w:pPr>
      <w:rPr>
        <w:rFonts w:ascii="Wingdings" w:hAnsi="Wingdings" w:hint="default"/>
      </w:rPr>
    </w:lvl>
    <w:lvl w:ilvl="4" w:tplc="D3527814" w:tentative="1">
      <w:start w:val="1"/>
      <w:numFmt w:val="bullet"/>
      <w:lvlText w:val=""/>
      <w:lvlJc w:val="left"/>
      <w:pPr>
        <w:tabs>
          <w:tab w:val="num" w:pos="3600"/>
        </w:tabs>
        <w:ind w:left="3600" w:hanging="360"/>
      </w:pPr>
      <w:rPr>
        <w:rFonts w:ascii="Wingdings" w:hAnsi="Wingdings" w:hint="default"/>
      </w:rPr>
    </w:lvl>
    <w:lvl w:ilvl="5" w:tplc="F468D4DA" w:tentative="1">
      <w:start w:val="1"/>
      <w:numFmt w:val="bullet"/>
      <w:lvlText w:val=""/>
      <w:lvlJc w:val="left"/>
      <w:pPr>
        <w:tabs>
          <w:tab w:val="num" w:pos="4320"/>
        </w:tabs>
        <w:ind w:left="4320" w:hanging="360"/>
      </w:pPr>
      <w:rPr>
        <w:rFonts w:ascii="Wingdings" w:hAnsi="Wingdings" w:hint="default"/>
      </w:rPr>
    </w:lvl>
    <w:lvl w:ilvl="6" w:tplc="6ED66E32" w:tentative="1">
      <w:start w:val="1"/>
      <w:numFmt w:val="bullet"/>
      <w:lvlText w:val=""/>
      <w:lvlJc w:val="left"/>
      <w:pPr>
        <w:tabs>
          <w:tab w:val="num" w:pos="5040"/>
        </w:tabs>
        <w:ind w:left="5040" w:hanging="360"/>
      </w:pPr>
      <w:rPr>
        <w:rFonts w:ascii="Wingdings" w:hAnsi="Wingdings" w:hint="default"/>
      </w:rPr>
    </w:lvl>
    <w:lvl w:ilvl="7" w:tplc="13F294D6" w:tentative="1">
      <w:start w:val="1"/>
      <w:numFmt w:val="bullet"/>
      <w:lvlText w:val=""/>
      <w:lvlJc w:val="left"/>
      <w:pPr>
        <w:tabs>
          <w:tab w:val="num" w:pos="5760"/>
        </w:tabs>
        <w:ind w:left="5760" w:hanging="360"/>
      </w:pPr>
      <w:rPr>
        <w:rFonts w:ascii="Wingdings" w:hAnsi="Wingdings" w:hint="default"/>
      </w:rPr>
    </w:lvl>
    <w:lvl w:ilvl="8" w:tplc="3E5C9E6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157526"/>
    <w:multiLevelType w:val="hybridMultilevel"/>
    <w:tmpl w:val="F9CCC2BA"/>
    <w:lvl w:ilvl="0" w:tplc="A212F6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A94509"/>
    <w:multiLevelType w:val="hybridMultilevel"/>
    <w:tmpl w:val="BA4CA368"/>
    <w:lvl w:ilvl="0" w:tplc="FFFFFFFF">
      <w:start w:val="1"/>
      <w:numFmt w:val="bullet"/>
      <w:lvlText w:val=""/>
      <w:lvlJc w:val="left"/>
      <w:pPr>
        <w:ind w:left="420" w:hanging="420"/>
      </w:pPr>
      <w:rPr>
        <w:rFonts w:ascii="Symbol" w:hAnsi="Symbol" w:hint="default"/>
      </w:rPr>
    </w:lvl>
    <w:lvl w:ilvl="1" w:tplc="754457A4">
      <w:start w:val="2845"/>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DF91968"/>
    <w:multiLevelType w:val="hybridMultilevel"/>
    <w:tmpl w:val="CB7E4DCC"/>
    <w:lvl w:ilvl="0" w:tplc="FFFFFFFF">
      <w:start w:val="1"/>
      <w:numFmt w:val="bullet"/>
      <w:lvlText w:val=""/>
      <w:lvlJc w:val="left"/>
      <w:pPr>
        <w:tabs>
          <w:tab w:val="num" w:pos="720"/>
        </w:tabs>
        <w:ind w:left="720" w:hanging="360"/>
      </w:pPr>
      <w:rPr>
        <w:rFonts w:ascii="Symbol" w:hAnsi="Symbol" w:hint="default"/>
      </w:rPr>
    </w:lvl>
    <w:lvl w:ilvl="1" w:tplc="58C604E4">
      <w:start w:val="3058"/>
      <w:numFmt w:val="bullet"/>
      <w:lvlText w:val="–"/>
      <w:lvlJc w:val="left"/>
      <w:pPr>
        <w:tabs>
          <w:tab w:val="num" w:pos="1440"/>
        </w:tabs>
        <w:ind w:left="1440" w:hanging="360"/>
      </w:pPr>
      <w:rPr>
        <w:rFonts w:ascii="Arial" w:hAnsi="Arial" w:cs="Times New Roman" w:hint="default"/>
      </w:rPr>
    </w:lvl>
    <w:lvl w:ilvl="2" w:tplc="D78218A0">
      <w:start w:val="3058"/>
      <w:numFmt w:val="bullet"/>
      <w:lvlText w:val="•"/>
      <w:lvlJc w:val="left"/>
      <w:pPr>
        <w:tabs>
          <w:tab w:val="num" w:pos="2160"/>
        </w:tabs>
        <w:ind w:left="2160" w:hanging="360"/>
      </w:pPr>
      <w:rPr>
        <w:rFonts w:ascii="Arial" w:hAnsi="Arial" w:cs="Times New Roman" w:hint="default"/>
      </w:rPr>
    </w:lvl>
    <w:lvl w:ilvl="3" w:tplc="F70887B0">
      <w:start w:val="3058"/>
      <w:numFmt w:val="bullet"/>
      <w:lvlText w:val="–"/>
      <w:lvlJc w:val="left"/>
      <w:pPr>
        <w:tabs>
          <w:tab w:val="num" w:pos="2880"/>
        </w:tabs>
        <w:ind w:left="2880" w:hanging="360"/>
      </w:pPr>
      <w:rPr>
        <w:rFonts w:ascii="Arial" w:hAnsi="Arial" w:cs="Times New Roman" w:hint="default"/>
      </w:rPr>
    </w:lvl>
    <w:lvl w:ilvl="4" w:tplc="E2F67C88">
      <w:start w:val="1"/>
      <w:numFmt w:val="bullet"/>
      <w:lvlText w:val="•"/>
      <w:lvlJc w:val="left"/>
      <w:pPr>
        <w:tabs>
          <w:tab w:val="num" w:pos="3600"/>
        </w:tabs>
        <w:ind w:left="3600" w:hanging="360"/>
      </w:pPr>
      <w:rPr>
        <w:rFonts w:ascii="Arial" w:hAnsi="Arial" w:cs="Times New Roman" w:hint="default"/>
      </w:rPr>
    </w:lvl>
    <w:lvl w:ilvl="5" w:tplc="E77400CE">
      <w:start w:val="1"/>
      <w:numFmt w:val="bullet"/>
      <w:lvlText w:val="•"/>
      <w:lvlJc w:val="left"/>
      <w:pPr>
        <w:tabs>
          <w:tab w:val="num" w:pos="4320"/>
        </w:tabs>
        <w:ind w:left="4320" w:hanging="360"/>
      </w:pPr>
      <w:rPr>
        <w:rFonts w:ascii="Arial" w:hAnsi="Arial" w:cs="Times New Roman" w:hint="default"/>
      </w:rPr>
    </w:lvl>
    <w:lvl w:ilvl="6" w:tplc="3FAAD286">
      <w:start w:val="1"/>
      <w:numFmt w:val="bullet"/>
      <w:lvlText w:val="•"/>
      <w:lvlJc w:val="left"/>
      <w:pPr>
        <w:tabs>
          <w:tab w:val="num" w:pos="5040"/>
        </w:tabs>
        <w:ind w:left="5040" w:hanging="360"/>
      </w:pPr>
      <w:rPr>
        <w:rFonts w:ascii="Arial" w:hAnsi="Arial" w:cs="Times New Roman" w:hint="default"/>
      </w:rPr>
    </w:lvl>
    <w:lvl w:ilvl="7" w:tplc="F1C6E72E">
      <w:start w:val="1"/>
      <w:numFmt w:val="bullet"/>
      <w:lvlText w:val="•"/>
      <w:lvlJc w:val="left"/>
      <w:pPr>
        <w:tabs>
          <w:tab w:val="num" w:pos="5760"/>
        </w:tabs>
        <w:ind w:left="5760" w:hanging="360"/>
      </w:pPr>
      <w:rPr>
        <w:rFonts w:ascii="Arial" w:hAnsi="Arial" w:cs="Times New Roman" w:hint="default"/>
      </w:rPr>
    </w:lvl>
    <w:lvl w:ilvl="8" w:tplc="83745BB2">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DFF6F93"/>
    <w:multiLevelType w:val="hybridMultilevel"/>
    <w:tmpl w:val="3AE83F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6B09CF"/>
    <w:multiLevelType w:val="hybridMultilevel"/>
    <w:tmpl w:val="09BA6C40"/>
    <w:lvl w:ilvl="0" w:tplc="42CC1802">
      <w:start w:val="1"/>
      <w:numFmt w:val="bullet"/>
      <w:lvlText w:val="•"/>
      <w:lvlJc w:val="left"/>
      <w:pPr>
        <w:tabs>
          <w:tab w:val="num" w:pos="720"/>
        </w:tabs>
        <w:ind w:left="720" w:hanging="360"/>
      </w:pPr>
      <w:rPr>
        <w:rFonts w:ascii="Arial" w:hAnsi="Arial"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78218A0">
      <w:start w:val="3058"/>
      <w:numFmt w:val="bullet"/>
      <w:lvlText w:val="•"/>
      <w:lvlJc w:val="left"/>
      <w:pPr>
        <w:tabs>
          <w:tab w:val="num" w:pos="2160"/>
        </w:tabs>
        <w:ind w:left="2160" w:hanging="360"/>
      </w:pPr>
      <w:rPr>
        <w:rFonts w:ascii="Arial" w:hAnsi="Arial" w:cs="Times New Roman" w:hint="default"/>
      </w:rPr>
    </w:lvl>
    <w:lvl w:ilvl="3" w:tplc="F70887B0">
      <w:start w:val="3058"/>
      <w:numFmt w:val="bullet"/>
      <w:lvlText w:val="–"/>
      <w:lvlJc w:val="left"/>
      <w:pPr>
        <w:tabs>
          <w:tab w:val="num" w:pos="2880"/>
        </w:tabs>
        <w:ind w:left="2880" w:hanging="360"/>
      </w:pPr>
      <w:rPr>
        <w:rFonts w:ascii="Arial" w:hAnsi="Arial" w:cs="Times New Roman" w:hint="default"/>
      </w:rPr>
    </w:lvl>
    <w:lvl w:ilvl="4" w:tplc="E2F67C88">
      <w:start w:val="1"/>
      <w:numFmt w:val="bullet"/>
      <w:lvlText w:val="•"/>
      <w:lvlJc w:val="left"/>
      <w:pPr>
        <w:tabs>
          <w:tab w:val="num" w:pos="3600"/>
        </w:tabs>
        <w:ind w:left="3600" w:hanging="360"/>
      </w:pPr>
      <w:rPr>
        <w:rFonts w:ascii="Arial" w:hAnsi="Arial" w:cs="Times New Roman" w:hint="default"/>
      </w:rPr>
    </w:lvl>
    <w:lvl w:ilvl="5" w:tplc="E77400CE">
      <w:start w:val="1"/>
      <w:numFmt w:val="bullet"/>
      <w:lvlText w:val="•"/>
      <w:lvlJc w:val="left"/>
      <w:pPr>
        <w:tabs>
          <w:tab w:val="num" w:pos="4320"/>
        </w:tabs>
        <w:ind w:left="4320" w:hanging="360"/>
      </w:pPr>
      <w:rPr>
        <w:rFonts w:ascii="Arial" w:hAnsi="Arial" w:cs="Times New Roman" w:hint="default"/>
      </w:rPr>
    </w:lvl>
    <w:lvl w:ilvl="6" w:tplc="3FAAD286">
      <w:start w:val="1"/>
      <w:numFmt w:val="bullet"/>
      <w:lvlText w:val="•"/>
      <w:lvlJc w:val="left"/>
      <w:pPr>
        <w:tabs>
          <w:tab w:val="num" w:pos="5040"/>
        </w:tabs>
        <w:ind w:left="5040" w:hanging="360"/>
      </w:pPr>
      <w:rPr>
        <w:rFonts w:ascii="Arial" w:hAnsi="Arial" w:cs="Times New Roman" w:hint="default"/>
      </w:rPr>
    </w:lvl>
    <w:lvl w:ilvl="7" w:tplc="F1C6E72E">
      <w:start w:val="1"/>
      <w:numFmt w:val="bullet"/>
      <w:lvlText w:val="•"/>
      <w:lvlJc w:val="left"/>
      <w:pPr>
        <w:tabs>
          <w:tab w:val="num" w:pos="5760"/>
        </w:tabs>
        <w:ind w:left="5760" w:hanging="360"/>
      </w:pPr>
      <w:rPr>
        <w:rFonts w:ascii="Arial" w:hAnsi="Arial" w:cs="Times New Roman" w:hint="default"/>
      </w:rPr>
    </w:lvl>
    <w:lvl w:ilvl="8" w:tplc="83745BB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A237DD"/>
    <w:multiLevelType w:val="hybridMultilevel"/>
    <w:tmpl w:val="C352A2A6"/>
    <w:lvl w:ilvl="0" w:tplc="41B8A3DC">
      <w:start w:val="1"/>
      <w:numFmt w:val="bullet"/>
      <w:lvlText w:val="»"/>
      <w:lvlJc w:val="left"/>
      <w:pPr>
        <w:tabs>
          <w:tab w:val="num" w:pos="720"/>
        </w:tabs>
        <w:ind w:left="720" w:hanging="360"/>
      </w:pPr>
      <w:rPr>
        <w:rFonts w:ascii="Arial" w:hAnsi="Arial" w:hint="default"/>
      </w:rPr>
    </w:lvl>
    <w:lvl w:ilvl="1" w:tplc="99A24514">
      <w:start w:val="1"/>
      <w:numFmt w:val="bullet"/>
      <w:lvlText w:val="»"/>
      <w:lvlJc w:val="left"/>
      <w:pPr>
        <w:tabs>
          <w:tab w:val="num" w:pos="1440"/>
        </w:tabs>
        <w:ind w:left="1440" w:hanging="360"/>
      </w:pPr>
      <w:rPr>
        <w:rFonts w:ascii="Arial" w:hAnsi="Arial" w:hint="default"/>
      </w:rPr>
    </w:lvl>
    <w:lvl w:ilvl="2" w:tplc="91F29A08">
      <w:start w:val="8675"/>
      <w:numFmt w:val="bullet"/>
      <w:lvlText w:val="•"/>
      <w:lvlJc w:val="left"/>
      <w:pPr>
        <w:tabs>
          <w:tab w:val="num" w:pos="2160"/>
        </w:tabs>
        <w:ind w:left="2160" w:hanging="360"/>
      </w:pPr>
      <w:rPr>
        <w:rFonts w:ascii="Arial" w:hAnsi="Arial" w:hint="default"/>
      </w:rPr>
    </w:lvl>
    <w:lvl w:ilvl="3" w:tplc="9DE27D82" w:tentative="1">
      <w:start w:val="1"/>
      <w:numFmt w:val="bullet"/>
      <w:lvlText w:val="»"/>
      <w:lvlJc w:val="left"/>
      <w:pPr>
        <w:tabs>
          <w:tab w:val="num" w:pos="2880"/>
        </w:tabs>
        <w:ind w:left="2880" w:hanging="360"/>
      </w:pPr>
      <w:rPr>
        <w:rFonts w:ascii="Arial" w:hAnsi="Arial" w:hint="default"/>
      </w:rPr>
    </w:lvl>
    <w:lvl w:ilvl="4" w:tplc="57D04096" w:tentative="1">
      <w:start w:val="1"/>
      <w:numFmt w:val="bullet"/>
      <w:lvlText w:val="»"/>
      <w:lvlJc w:val="left"/>
      <w:pPr>
        <w:tabs>
          <w:tab w:val="num" w:pos="3600"/>
        </w:tabs>
        <w:ind w:left="3600" w:hanging="360"/>
      </w:pPr>
      <w:rPr>
        <w:rFonts w:ascii="Arial" w:hAnsi="Arial" w:hint="default"/>
      </w:rPr>
    </w:lvl>
    <w:lvl w:ilvl="5" w:tplc="47086332" w:tentative="1">
      <w:start w:val="1"/>
      <w:numFmt w:val="bullet"/>
      <w:lvlText w:val="»"/>
      <w:lvlJc w:val="left"/>
      <w:pPr>
        <w:tabs>
          <w:tab w:val="num" w:pos="4320"/>
        </w:tabs>
        <w:ind w:left="4320" w:hanging="360"/>
      </w:pPr>
      <w:rPr>
        <w:rFonts w:ascii="Arial" w:hAnsi="Arial" w:hint="default"/>
      </w:rPr>
    </w:lvl>
    <w:lvl w:ilvl="6" w:tplc="D2B4D69C" w:tentative="1">
      <w:start w:val="1"/>
      <w:numFmt w:val="bullet"/>
      <w:lvlText w:val="»"/>
      <w:lvlJc w:val="left"/>
      <w:pPr>
        <w:tabs>
          <w:tab w:val="num" w:pos="5040"/>
        </w:tabs>
        <w:ind w:left="5040" w:hanging="360"/>
      </w:pPr>
      <w:rPr>
        <w:rFonts w:ascii="Arial" w:hAnsi="Arial" w:hint="default"/>
      </w:rPr>
    </w:lvl>
    <w:lvl w:ilvl="7" w:tplc="E04A26AA" w:tentative="1">
      <w:start w:val="1"/>
      <w:numFmt w:val="bullet"/>
      <w:lvlText w:val="»"/>
      <w:lvlJc w:val="left"/>
      <w:pPr>
        <w:tabs>
          <w:tab w:val="num" w:pos="5760"/>
        </w:tabs>
        <w:ind w:left="5760" w:hanging="360"/>
      </w:pPr>
      <w:rPr>
        <w:rFonts w:ascii="Arial" w:hAnsi="Arial" w:hint="default"/>
      </w:rPr>
    </w:lvl>
    <w:lvl w:ilvl="8" w:tplc="C4E8AC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C573C5"/>
    <w:multiLevelType w:val="hybridMultilevel"/>
    <w:tmpl w:val="18C0CDFE"/>
    <w:lvl w:ilvl="0" w:tplc="0EBC83B2">
      <w:start w:val="1"/>
      <w:numFmt w:val="bullet"/>
      <w:lvlText w:val="»"/>
      <w:lvlJc w:val="left"/>
      <w:pPr>
        <w:tabs>
          <w:tab w:val="num" w:pos="720"/>
        </w:tabs>
        <w:ind w:left="720" w:hanging="360"/>
      </w:pPr>
      <w:rPr>
        <w:rFonts w:ascii="Arial" w:hAnsi="Arial" w:hint="default"/>
      </w:rPr>
    </w:lvl>
    <w:lvl w:ilvl="1" w:tplc="B8EA9DEA">
      <w:start w:val="1"/>
      <w:numFmt w:val="bullet"/>
      <w:lvlText w:val="»"/>
      <w:lvlJc w:val="left"/>
      <w:pPr>
        <w:tabs>
          <w:tab w:val="num" w:pos="1440"/>
        </w:tabs>
        <w:ind w:left="1440" w:hanging="360"/>
      </w:pPr>
      <w:rPr>
        <w:rFonts w:ascii="Arial" w:hAnsi="Arial" w:hint="default"/>
      </w:rPr>
    </w:lvl>
    <w:lvl w:ilvl="2" w:tplc="BCAA7210" w:tentative="1">
      <w:start w:val="1"/>
      <w:numFmt w:val="bullet"/>
      <w:lvlText w:val="»"/>
      <w:lvlJc w:val="left"/>
      <w:pPr>
        <w:tabs>
          <w:tab w:val="num" w:pos="2160"/>
        </w:tabs>
        <w:ind w:left="2160" w:hanging="360"/>
      </w:pPr>
      <w:rPr>
        <w:rFonts w:ascii="Arial" w:hAnsi="Arial" w:hint="default"/>
      </w:rPr>
    </w:lvl>
    <w:lvl w:ilvl="3" w:tplc="48F4189A" w:tentative="1">
      <w:start w:val="1"/>
      <w:numFmt w:val="bullet"/>
      <w:lvlText w:val="»"/>
      <w:lvlJc w:val="left"/>
      <w:pPr>
        <w:tabs>
          <w:tab w:val="num" w:pos="2880"/>
        </w:tabs>
        <w:ind w:left="2880" w:hanging="360"/>
      </w:pPr>
      <w:rPr>
        <w:rFonts w:ascii="Arial" w:hAnsi="Arial" w:hint="default"/>
      </w:rPr>
    </w:lvl>
    <w:lvl w:ilvl="4" w:tplc="178E11EC" w:tentative="1">
      <w:start w:val="1"/>
      <w:numFmt w:val="bullet"/>
      <w:lvlText w:val="»"/>
      <w:lvlJc w:val="left"/>
      <w:pPr>
        <w:tabs>
          <w:tab w:val="num" w:pos="3600"/>
        </w:tabs>
        <w:ind w:left="3600" w:hanging="360"/>
      </w:pPr>
      <w:rPr>
        <w:rFonts w:ascii="Arial" w:hAnsi="Arial" w:hint="default"/>
      </w:rPr>
    </w:lvl>
    <w:lvl w:ilvl="5" w:tplc="FD101416" w:tentative="1">
      <w:start w:val="1"/>
      <w:numFmt w:val="bullet"/>
      <w:lvlText w:val="»"/>
      <w:lvlJc w:val="left"/>
      <w:pPr>
        <w:tabs>
          <w:tab w:val="num" w:pos="4320"/>
        </w:tabs>
        <w:ind w:left="4320" w:hanging="360"/>
      </w:pPr>
      <w:rPr>
        <w:rFonts w:ascii="Arial" w:hAnsi="Arial" w:hint="default"/>
      </w:rPr>
    </w:lvl>
    <w:lvl w:ilvl="6" w:tplc="F1C2256A" w:tentative="1">
      <w:start w:val="1"/>
      <w:numFmt w:val="bullet"/>
      <w:lvlText w:val="»"/>
      <w:lvlJc w:val="left"/>
      <w:pPr>
        <w:tabs>
          <w:tab w:val="num" w:pos="5040"/>
        </w:tabs>
        <w:ind w:left="5040" w:hanging="360"/>
      </w:pPr>
      <w:rPr>
        <w:rFonts w:ascii="Arial" w:hAnsi="Arial" w:hint="default"/>
      </w:rPr>
    </w:lvl>
    <w:lvl w:ilvl="7" w:tplc="C1882A36" w:tentative="1">
      <w:start w:val="1"/>
      <w:numFmt w:val="bullet"/>
      <w:lvlText w:val="»"/>
      <w:lvlJc w:val="left"/>
      <w:pPr>
        <w:tabs>
          <w:tab w:val="num" w:pos="5760"/>
        </w:tabs>
        <w:ind w:left="5760" w:hanging="360"/>
      </w:pPr>
      <w:rPr>
        <w:rFonts w:ascii="Arial" w:hAnsi="Arial" w:hint="default"/>
      </w:rPr>
    </w:lvl>
    <w:lvl w:ilvl="8" w:tplc="A60215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23B6C"/>
    <w:multiLevelType w:val="hybridMultilevel"/>
    <w:tmpl w:val="A336FAD4"/>
    <w:lvl w:ilvl="0" w:tplc="42CC1802">
      <w:start w:val="1"/>
      <w:numFmt w:val="bullet"/>
      <w:lvlText w:val="•"/>
      <w:lvlJc w:val="left"/>
      <w:pPr>
        <w:tabs>
          <w:tab w:val="num" w:pos="720"/>
        </w:tabs>
        <w:ind w:left="720" w:hanging="360"/>
      </w:pPr>
      <w:rPr>
        <w:rFonts w:ascii="Arial" w:hAnsi="Arial" w:cs="Times New Roman" w:hint="default"/>
      </w:rPr>
    </w:lvl>
    <w:lvl w:ilvl="1" w:tplc="58C604E4">
      <w:start w:val="3058"/>
      <w:numFmt w:val="bullet"/>
      <w:lvlText w:val="–"/>
      <w:lvlJc w:val="left"/>
      <w:pPr>
        <w:tabs>
          <w:tab w:val="num" w:pos="1440"/>
        </w:tabs>
        <w:ind w:left="1440" w:hanging="360"/>
      </w:pPr>
      <w:rPr>
        <w:rFonts w:ascii="Arial" w:hAnsi="Arial" w:cs="Times New Roman" w:hint="default"/>
      </w:rPr>
    </w:lvl>
    <w:lvl w:ilvl="2" w:tplc="D78218A0">
      <w:start w:val="3058"/>
      <w:numFmt w:val="bullet"/>
      <w:lvlText w:val="•"/>
      <w:lvlJc w:val="left"/>
      <w:pPr>
        <w:tabs>
          <w:tab w:val="num" w:pos="2160"/>
        </w:tabs>
        <w:ind w:left="2160" w:hanging="360"/>
      </w:pPr>
      <w:rPr>
        <w:rFonts w:ascii="Arial" w:hAnsi="Arial" w:cs="Times New Roman" w:hint="default"/>
      </w:rPr>
    </w:lvl>
    <w:lvl w:ilvl="3" w:tplc="F70887B0">
      <w:start w:val="3058"/>
      <w:numFmt w:val="bullet"/>
      <w:lvlText w:val="–"/>
      <w:lvlJc w:val="left"/>
      <w:pPr>
        <w:tabs>
          <w:tab w:val="num" w:pos="2880"/>
        </w:tabs>
        <w:ind w:left="2880" w:hanging="360"/>
      </w:pPr>
      <w:rPr>
        <w:rFonts w:ascii="Arial" w:hAnsi="Arial" w:cs="Times New Roman" w:hint="default"/>
      </w:rPr>
    </w:lvl>
    <w:lvl w:ilvl="4" w:tplc="E2F67C88">
      <w:start w:val="1"/>
      <w:numFmt w:val="bullet"/>
      <w:lvlText w:val="•"/>
      <w:lvlJc w:val="left"/>
      <w:pPr>
        <w:tabs>
          <w:tab w:val="num" w:pos="3600"/>
        </w:tabs>
        <w:ind w:left="3600" w:hanging="360"/>
      </w:pPr>
      <w:rPr>
        <w:rFonts w:ascii="Arial" w:hAnsi="Arial" w:cs="Times New Roman" w:hint="default"/>
      </w:rPr>
    </w:lvl>
    <w:lvl w:ilvl="5" w:tplc="E77400CE">
      <w:start w:val="1"/>
      <w:numFmt w:val="bullet"/>
      <w:lvlText w:val="•"/>
      <w:lvlJc w:val="left"/>
      <w:pPr>
        <w:tabs>
          <w:tab w:val="num" w:pos="4320"/>
        </w:tabs>
        <w:ind w:left="4320" w:hanging="360"/>
      </w:pPr>
      <w:rPr>
        <w:rFonts w:ascii="Arial" w:hAnsi="Arial" w:cs="Times New Roman" w:hint="default"/>
      </w:rPr>
    </w:lvl>
    <w:lvl w:ilvl="6" w:tplc="3FAAD286">
      <w:start w:val="1"/>
      <w:numFmt w:val="bullet"/>
      <w:lvlText w:val="•"/>
      <w:lvlJc w:val="left"/>
      <w:pPr>
        <w:tabs>
          <w:tab w:val="num" w:pos="5040"/>
        </w:tabs>
        <w:ind w:left="5040" w:hanging="360"/>
      </w:pPr>
      <w:rPr>
        <w:rFonts w:ascii="Arial" w:hAnsi="Arial" w:cs="Times New Roman" w:hint="default"/>
      </w:rPr>
    </w:lvl>
    <w:lvl w:ilvl="7" w:tplc="F1C6E72E">
      <w:start w:val="1"/>
      <w:numFmt w:val="bullet"/>
      <w:lvlText w:val="•"/>
      <w:lvlJc w:val="left"/>
      <w:pPr>
        <w:tabs>
          <w:tab w:val="num" w:pos="5760"/>
        </w:tabs>
        <w:ind w:left="5760" w:hanging="360"/>
      </w:pPr>
      <w:rPr>
        <w:rFonts w:ascii="Arial" w:hAnsi="Arial" w:cs="Times New Roman" w:hint="default"/>
      </w:rPr>
    </w:lvl>
    <w:lvl w:ilvl="8" w:tplc="83745BB2">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D355C6"/>
    <w:multiLevelType w:val="hybridMultilevel"/>
    <w:tmpl w:val="970ACF8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CE3818"/>
    <w:multiLevelType w:val="hybridMultilevel"/>
    <w:tmpl w:val="4FCE084C"/>
    <w:lvl w:ilvl="0" w:tplc="8EE20F3E">
      <w:start w:val="1"/>
      <w:numFmt w:val="bullet"/>
      <w:lvlText w:val=""/>
      <w:lvlJc w:val="left"/>
      <w:pPr>
        <w:tabs>
          <w:tab w:val="num" w:pos="720"/>
        </w:tabs>
        <w:ind w:left="720" w:hanging="360"/>
      </w:pPr>
      <w:rPr>
        <w:rFonts w:ascii="Wingdings" w:hAnsi="Wingdings" w:hint="default"/>
      </w:rPr>
    </w:lvl>
    <w:lvl w:ilvl="1" w:tplc="2850EB80">
      <w:start w:val="20924"/>
      <w:numFmt w:val="bullet"/>
      <w:lvlText w:val="»"/>
      <w:lvlJc w:val="left"/>
      <w:pPr>
        <w:tabs>
          <w:tab w:val="num" w:pos="1440"/>
        </w:tabs>
        <w:ind w:left="1440" w:hanging="360"/>
      </w:pPr>
      <w:rPr>
        <w:rFonts w:ascii="Arial" w:hAnsi="Arial" w:hint="default"/>
      </w:rPr>
    </w:lvl>
    <w:lvl w:ilvl="2" w:tplc="3998D6CC" w:tentative="1">
      <w:start w:val="1"/>
      <w:numFmt w:val="bullet"/>
      <w:lvlText w:val=""/>
      <w:lvlJc w:val="left"/>
      <w:pPr>
        <w:tabs>
          <w:tab w:val="num" w:pos="2160"/>
        </w:tabs>
        <w:ind w:left="2160" w:hanging="360"/>
      </w:pPr>
      <w:rPr>
        <w:rFonts w:ascii="Wingdings" w:hAnsi="Wingdings" w:hint="default"/>
      </w:rPr>
    </w:lvl>
    <w:lvl w:ilvl="3" w:tplc="CFDA76CE" w:tentative="1">
      <w:start w:val="1"/>
      <w:numFmt w:val="bullet"/>
      <w:lvlText w:val=""/>
      <w:lvlJc w:val="left"/>
      <w:pPr>
        <w:tabs>
          <w:tab w:val="num" w:pos="2880"/>
        </w:tabs>
        <w:ind w:left="2880" w:hanging="360"/>
      </w:pPr>
      <w:rPr>
        <w:rFonts w:ascii="Wingdings" w:hAnsi="Wingdings" w:hint="default"/>
      </w:rPr>
    </w:lvl>
    <w:lvl w:ilvl="4" w:tplc="2F96F742" w:tentative="1">
      <w:start w:val="1"/>
      <w:numFmt w:val="bullet"/>
      <w:lvlText w:val=""/>
      <w:lvlJc w:val="left"/>
      <w:pPr>
        <w:tabs>
          <w:tab w:val="num" w:pos="3600"/>
        </w:tabs>
        <w:ind w:left="3600" w:hanging="360"/>
      </w:pPr>
      <w:rPr>
        <w:rFonts w:ascii="Wingdings" w:hAnsi="Wingdings" w:hint="default"/>
      </w:rPr>
    </w:lvl>
    <w:lvl w:ilvl="5" w:tplc="557E4310" w:tentative="1">
      <w:start w:val="1"/>
      <w:numFmt w:val="bullet"/>
      <w:lvlText w:val=""/>
      <w:lvlJc w:val="left"/>
      <w:pPr>
        <w:tabs>
          <w:tab w:val="num" w:pos="4320"/>
        </w:tabs>
        <w:ind w:left="4320" w:hanging="360"/>
      </w:pPr>
      <w:rPr>
        <w:rFonts w:ascii="Wingdings" w:hAnsi="Wingdings" w:hint="default"/>
      </w:rPr>
    </w:lvl>
    <w:lvl w:ilvl="6" w:tplc="238C0BD0" w:tentative="1">
      <w:start w:val="1"/>
      <w:numFmt w:val="bullet"/>
      <w:lvlText w:val=""/>
      <w:lvlJc w:val="left"/>
      <w:pPr>
        <w:tabs>
          <w:tab w:val="num" w:pos="5040"/>
        </w:tabs>
        <w:ind w:left="5040" w:hanging="360"/>
      </w:pPr>
      <w:rPr>
        <w:rFonts w:ascii="Wingdings" w:hAnsi="Wingdings" w:hint="default"/>
      </w:rPr>
    </w:lvl>
    <w:lvl w:ilvl="7" w:tplc="6924ECA4" w:tentative="1">
      <w:start w:val="1"/>
      <w:numFmt w:val="bullet"/>
      <w:lvlText w:val=""/>
      <w:lvlJc w:val="left"/>
      <w:pPr>
        <w:tabs>
          <w:tab w:val="num" w:pos="5760"/>
        </w:tabs>
        <w:ind w:left="5760" w:hanging="360"/>
      </w:pPr>
      <w:rPr>
        <w:rFonts w:ascii="Wingdings" w:hAnsi="Wingdings" w:hint="default"/>
      </w:rPr>
    </w:lvl>
    <w:lvl w:ilvl="8" w:tplc="E814DE0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6C0433"/>
    <w:multiLevelType w:val="multilevel"/>
    <w:tmpl w:val="55503FE4"/>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4220003"/>
    <w:multiLevelType w:val="hybridMultilevel"/>
    <w:tmpl w:val="3126EA52"/>
    <w:lvl w:ilvl="0" w:tplc="0A465CBC">
      <w:start w:val="1"/>
      <w:numFmt w:val="bullet"/>
      <w:lvlText w:val="–"/>
      <w:lvlJc w:val="left"/>
      <w:pPr>
        <w:tabs>
          <w:tab w:val="num" w:pos="720"/>
        </w:tabs>
        <w:ind w:left="720" w:hanging="360"/>
      </w:pPr>
      <w:rPr>
        <w:rFonts w:ascii="Arial" w:hAnsi="Arial" w:hint="default"/>
      </w:rPr>
    </w:lvl>
    <w:lvl w:ilvl="1" w:tplc="F0022510">
      <w:start w:val="1"/>
      <w:numFmt w:val="bullet"/>
      <w:lvlText w:val="–"/>
      <w:lvlJc w:val="left"/>
      <w:pPr>
        <w:tabs>
          <w:tab w:val="num" w:pos="1440"/>
        </w:tabs>
        <w:ind w:left="1440" w:hanging="360"/>
      </w:pPr>
      <w:rPr>
        <w:rFonts w:ascii="Arial" w:hAnsi="Arial" w:hint="default"/>
      </w:rPr>
    </w:lvl>
    <w:lvl w:ilvl="2" w:tplc="2E60A3E2" w:tentative="1">
      <w:start w:val="1"/>
      <w:numFmt w:val="bullet"/>
      <w:lvlText w:val="–"/>
      <w:lvlJc w:val="left"/>
      <w:pPr>
        <w:tabs>
          <w:tab w:val="num" w:pos="2160"/>
        </w:tabs>
        <w:ind w:left="2160" w:hanging="360"/>
      </w:pPr>
      <w:rPr>
        <w:rFonts w:ascii="Arial" w:hAnsi="Arial" w:hint="default"/>
      </w:rPr>
    </w:lvl>
    <w:lvl w:ilvl="3" w:tplc="BF6AB5A4" w:tentative="1">
      <w:start w:val="1"/>
      <w:numFmt w:val="bullet"/>
      <w:lvlText w:val="–"/>
      <w:lvlJc w:val="left"/>
      <w:pPr>
        <w:tabs>
          <w:tab w:val="num" w:pos="2880"/>
        </w:tabs>
        <w:ind w:left="2880" w:hanging="360"/>
      </w:pPr>
      <w:rPr>
        <w:rFonts w:ascii="Arial" w:hAnsi="Arial" w:hint="default"/>
      </w:rPr>
    </w:lvl>
    <w:lvl w:ilvl="4" w:tplc="E122862E" w:tentative="1">
      <w:start w:val="1"/>
      <w:numFmt w:val="bullet"/>
      <w:lvlText w:val="–"/>
      <w:lvlJc w:val="left"/>
      <w:pPr>
        <w:tabs>
          <w:tab w:val="num" w:pos="3600"/>
        </w:tabs>
        <w:ind w:left="3600" w:hanging="360"/>
      </w:pPr>
      <w:rPr>
        <w:rFonts w:ascii="Arial" w:hAnsi="Arial" w:hint="default"/>
      </w:rPr>
    </w:lvl>
    <w:lvl w:ilvl="5" w:tplc="016CC678" w:tentative="1">
      <w:start w:val="1"/>
      <w:numFmt w:val="bullet"/>
      <w:lvlText w:val="–"/>
      <w:lvlJc w:val="left"/>
      <w:pPr>
        <w:tabs>
          <w:tab w:val="num" w:pos="4320"/>
        </w:tabs>
        <w:ind w:left="4320" w:hanging="360"/>
      </w:pPr>
      <w:rPr>
        <w:rFonts w:ascii="Arial" w:hAnsi="Arial" w:hint="default"/>
      </w:rPr>
    </w:lvl>
    <w:lvl w:ilvl="6" w:tplc="8F869796" w:tentative="1">
      <w:start w:val="1"/>
      <w:numFmt w:val="bullet"/>
      <w:lvlText w:val="–"/>
      <w:lvlJc w:val="left"/>
      <w:pPr>
        <w:tabs>
          <w:tab w:val="num" w:pos="5040"/>
        </w:tabs>
        <w:ind w:left="5040" w:hanging="360"/>
      </w:pPr>
      <w:rPr>
        <w:rFonts w:ascii="Arial" w:hAnsi="Arial" w:hint="default"/>
      </w:rPr>
    </w:lvl>
    <w:lvl w:ilvl="7" w:tplc="D79298BE" w:tentative="1">
      <w:start w:val="1"/>
      <w:numFmt w:val="bullet"/>
      <w:lvlText w:val="–"/>
      <w:lvlJc w:val="left"/>
      <w:pPr>
        <w:tabs>
          <w:tab w:val="num" w:pos="5760"/>
        </w:tabs>
        <w:ind w:left="5760" w:hanging="360"/>
      </w:pPr>
      <w:rPr>
        <w:rFonts w:ascii="Arial" w:hAnsi="Arial" w:hint="default"/>
      </w:rPr>
    </w:lvl>
    <w:lvl w:ilvl="8" w:tplc="50A09F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C7723FC"/>
    <w:multiLevelType w:val="hybridMultilevel"/>
    <w:tmpl w:val="5594A62E"/>
    <w:lvl w:ilvl="0" w:tplc="D42404E2">
      <w:start w:val="1"/>
      <w:numFmt w:val="bullet"/>
      <w:lvlText w:val="»"/>
      <w:lvlJc w:val="left"/>
      <w:pPr>
        <w:tabs>
          <w:tab w:val="num" w:pos="720"/>
        </w:tabs>
        <w:ind w:left="720" w:hanging="360"/>
      </w:pPr>
      <w:rPr>
        <w:rFonts w:ascii="Arial" w:hAnsi="Arial" w:hint="default"/>
      </w:rPr>
    </w:lvl>
    <w:lvl w:ilvl="1" w:tplc="C98203F2">
      <w:start w:val="1"/>
      <w:numFmt w:val="bullet"/>
      <w:lvlText w:val="»"/>
      <w:lvlJc w:val="left"/>
      <w:pPr>
        <w:tabs>
          <w:tab w:val="num" w:pos="1440"/>
        </w:tabs>
        <w:ind w:left="1440" w:hanging="360"/>
      </w:pPr>
      <w:rPr>
        <w:rFonts w:ascii="Arial" w:hAnsi="Arial" w:hint="default"/>
      </w:rPr>
    </w:lvl>
    <w:lvl w:ilvl="2" w:tplc="A5E00C7A" w:tentative="1">
      <w:start w:val="1"/>
      <w:numFmt w:val="bullet"/>
      <w:lvlText w:val="»"/>
      <w:lvlJc w:val="left"/>
      <w:pPr>
        <w:tabs>
          <w:tab w:val="num" w:pos="2160"/>
        </w:tabs>
        <w:ind w:left="2160" w:hanging="360"/>
      </w:pPr>
      <w:rPr>
        <w:rFonts w:ascii="Arial" w:hAnsi="Arial" w:hint="default"/>
      </w:rPr>
    </w:lvl>
    <w:lvl w:ilvl="3" w:tplc="0F6A93F8" w:tentative="1">
      <w:start w:val="1"/>
      <w:numFmt w:val="bullet"/>
      <w:lvlText w:val="»"/>
      <w:lvlJc w:val="left"/>
      <w:pPr>
        <w:tabs>
          <w:tab w:val="num" w:pos="2880"/>
        </w:tabs>
        <w:ind w:left="2880" w:hanging="360"/>
      </w:pPr>
      <w:rPr>
        <w:rFonts w:ascii="Arial" w:hAnsi="Arial" w:hint="default"/>
      </w:rPr>
    </w:lvl>
    <w:lvl w:ilvl="4" w:tplc="009E2718" w:tentative="1">
      <w:start w:val="1"/>
      <w:numFmt w:val="bullet"/>
      <w:lvlText w:val="»"/>
      <w:lvlJc w:val="left"/>
      <w:pPr>
        <w:tabs>
          <w:tab w:val="num" w:pos="3600"/>
        </w:tabs>
        <w:ind w:left="3600" w:hanging="360"/>
      </w:pPr>
      <w:rPr>
        <w:rFonts w:ascii="Arial" w:hAnsi="Arial" w:hint="default"/>
      </w:rPr>
    </w:lvl>
    <w:lvl w:ilvl="5" w:tplc="223A68DC" w:tentative="1">
      <w:start w:val="1"/>
      <w:numFmt w:val="bullet"/>
      <w:lvlText w:val="»"/>
      <w:lvlJc w:val="left"/>
      <w:pPr>
        <w:tabs>
          <w:tab w:val="num" w:pos="4320"/>
        </w:tabs>
        <w:ind w:left="4320" w:hanging="360"/>
      </w:pPr>
      <w:rPr>
        <w:rFonts w:ascii="Arial" w:hAnsi="Arial" w:hint="default"/>
      </w:rPr>
    </w:lvl>
    <w:lvl w:ilvl="6" w:tplc="506CA972" w:tentative="1">
      <w:start w:val="1"/>
      <w:numFmt w:val="bullet"/>
      <w:lvlText w:val="»"/>
      <w:lvlJc w:val="left"/>
      <w:pPr>
        <w:tabs>
          <w:tab w:val="num" w:pos="5040"/>
        </w:tabs>
        <w:ind w:left="5040" w:hanging="360"/>
      </w:pPr>
      <w:rPr>
        <w:rFonts w:ascii="Arial" w:hAnsi="Arial" w:hint="default"/>
      </w:rPr>
    </w:lvl>
    <w:lvl w:ilvl="7" w:tplc="054C796E" w:tentative="1">
      <w:start w:val="1"/>
      <w:numFmt w:val="bullet"/>
      <w:lvlText w:val="»"/>
      <w:lvlJc w:val="left"/>
      <w:pPr>
        <w:tabs>
          <w:tab w:val="num" w:pos="5760"/>
        </w:tabs>
        <w:ind w:left="5760" w:hanging="360"/>
      </w:pPr>
      <w:rPr>
        <w:rFonts w:ascii="Arial" w:hAnsi="Arial" w:hint="default"/>
      </w:rPr>
    </w:lvl>
    <w:lvl w:ilvl="8" w:tplc="E2F09C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9"/>
  </w:num>
  <w:num w:numId="2">
    <w:abstractNumId w:val="0"/>
  </w:num>
  <w:num w:numId="3">
    <w:abstractNumId w:val="28"/>
  </w:num>
  <w:num w:numId="4">
    <w:abstractNumId w:val="6"/>
  </w:num>
  <w:num w:numId="5">
    <w:abstractNumId w:val="24"/>
  </w:num>
  <w:num w:numId="6">
    <w:abstractNumId w:val="30"/>
  </w:num>
  <w:num w:numId="7">
    <w:abstractNumId w:val="19"/>
  </w:num>
  <w:num w:numId="8">
    <w:abstractNumId w:val="25"/>
  </w:num>
  <w:num w:numId="9">
    <w:abstractNumId w:val="14"/>
  </w:num>
  <w:num w:numId="10">
    <w:abstractNumId w:val="15"/>
  </w:num>
  <w:num w:numId="11">
    <w:abstractNumId w:val="11"/>
  </w:num>
  <w:num w:numId="12">
    <w:abstractNumId w:val="2"/>
  </w:num>
  <w:num w:numId="13">
    <w:abstractNumId w:val="7"/>
  </w:num>
  <w:num w:numId="14">
    <w:abstractNumId w:val="16"/>
  </w:num>
  <w:num w:numId="15">
    <w:abstractNumId w:val="9"/>
  </w:num>
  <w:num w:numId="16">
    <w:abstractNumId w:val="8"/>
  </w:num>
  <w:num w:numId="17">
    <w:abstractNumId w:val="27"/>
  </w:num>
  <w:num w:numId="18">
    <w:abstractNumId w:val="10"/>
  </w:num>
  <w:num w:numId="19">
    <w:abstractNumId w:val="32"/>
  </w:num>
  <w:num w:numId="20">
    <w:abstractNumId w:val="5"/>
  </w:num>
  <w:num w:numId="21">
    <w:abstractNumId w:val="1"/>
  </w:num>
  <w:num w:numId="22">
    <w:abstractNumId w:val="22"/>
  </w:num>
  <w:num w:numId="23">
    <w:abstractNumId w:val="13"/>
  </w:num>
  <w:num w:numId="24">
    <w:abstractNumId w:val="4"/>
  </w:num>
  <w:num w:numId="25">
    <w:abstractNumId w:val="3"/>
  </w:num>
  <w:num w:numId="26">
    <w:abstractNumId w:val="23"/>
  </w:num>
  <w:num w:numId="27">
    <w:abstractNumId w:val="20"/>
  </w:num>
  <w:num w:numId="28">
    <w:abstractNumId w:val="21"/>
  </w:num>
  <w:num w:numId="29">
    <w:abstractNumId w:val="31"/>
  </w:num>
  <w:num w:numId="30">
    <w:abstractNumId w:val="12"/>
  </w:num>
  <w:num w:numId="31">
    <w:abstractNumId w:val="18"/>
  </w:num>
  <w:num w:numId="32">
    <w:abstractNumId w:val="26"/>
  </w:num>
  <w:num w:numId="3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43E"/>
    <w:rsid w:val="0000279E"/>
    <w:rsid w:val="00004DD6"/>
    <w:rsid w:val="000051DF"/>
    <w:rsid w:val="00005B9C"/>
    <w:rsid w:val="00006194"/>
    <w:rsid w:val="000100CC"/>
    <w:rsid w:val="000113B5"/>
    <w:rsid w:val="00011849"/>
    <w:rsid w:val="00012152"/>
    <w:rsid w:val="000122CD"/>
    <w:rsid w:val="00013DAB"/>
    <w:rsid w:val="0001449A"/>
    <w:rsid w:val="00014788"/>
    <w:rsid w:val="0001518A"/>
    <w:rsid w:val="0001681C"/>
    <w:rsid w:val="00016FFB"/>
    <w:rsid w:val="000175E0"/>
    <w:rsid w:val="00017714"/>
    <w:rsid w:val="00017F21"/>
    <w:rsid w:val="00022CB4"/>
    <w:rsid w:val="0002310B"/>
    <w:rsid w:val="000231C1"/>
    <w:rsid w:val="00023D46"/>
    <w:rsid w:val="00023D95"/>
    <w:rsid w:val="00023E56"/>
    <w:rsid w:val="00023F02"/>
    <w:rsid w:val="0002462D"/>
    <w:rsid w:val="00024A15"/>
    <w:rsid w:val="00024F12"/>
    <w:rsid w:val="0002723B"/>
    <w:rsid w:val="000273FD"/>
    <w:rsid w:val="0002784B"/>
    <w:rsid w:val="00031FFF"/>
    <w:rsid w:val="00032647"/>
    <w:rsid w:val="00032856"/>
    <w:rsid w:val="00033213"/>
    <w:rsid w:val="00033731"/>
    <w:rsid w:val="00033B21"/>
    <w:rsid w:val="00033C13"/>
    <w:rsid w:val="00034348"/>
    <w:rsid w:val="000347B4"/>
    <w:rsid w:val="00034A56"/>
    <w:rsid w:val="0003551E"/>
    <w:rsid w:val="00037290"/>
    <w:rsid w:val="000372EE"/>
    <w:rsid w:val="000377D9"/>
    <w:rsid w:val="00040AA8"/>
    <w:rsid w:val="00041699"/>
    <w:rsid w:val="00041D81"/>
    <w:rsid w:val="000434FD"/>
    <w:rsid w:val="0004507B"/>
    <w:rsid w:val="00045D5B"/>
    <w:rsid w:val="00046452"/>
    <w:rsid w:val="000471C5"/>
    <w:rsid w:val="00047AC6"/>
    <w:rsid w:val="00050C6E"/>
    <w:rsid w:val="0005100C"/>
    <w:rsid w:val="0005123E"/>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5291"/>
    <w:rsid w:val="000658FE"/>
    <w:rsid w:val="00067D1C"/>
    <w:rsid w:val="000703C0"/>
    <w:rsid w:val="000708BC"/>
    <w:rsid w:val="00072B01"/>
    <w:rsid w:val="00073F60"/>
    <w:rsid w:val="00074060"/>
    <w:rsid w:val="0007449B"/>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728"/>
    <w:rsid w:val="00091832"/>
    <w:rsid w:val="00091E9D"/>
    <w:rsid w:val="00092449"/>
    <w:rsid w:val="000949BB"/>
    <w:rsid w:val="00095318"/>
    <w:rsid w:val="00095714"/>
    <w:rsid w:val="00095718"/>
    <w:rsid w:val="000958B4"/>
    <w:rsid w:val="00095BBB"/>
    <w:rsid w:val="000969C4"/>
    <w:rsid w:val="00096AAC"/>
    <w:rsid w:val="00096DAC"/>
    <w:rsid w:val="00097CC6"/>
    <w:rsid w:val="00097CD4"/>
    <w:rsid w:val="000A0358"/>
    <w:rsid w:val="000A0537"/>
    <w:rsid w:val="000A05CD"/>
    <w:rsid w:val="000A13A1"/>
    <w:rsid w:val="000A1651"/>
    <w:rsid w:val="000A171A"/>
    <w:rsid w:val="000A18B2"/>
    <w:rsid w:val="000A298C"/>
    <w:rsid w:val="000A38E2"/>
    <w:rsid w:val="000A420B"/>
    <w:rsid w:val="000A4D42"/>
    <w:rsid w:val="000A5D9E"/>
    <w:rsid w:val="000A66F1"/>
    <w:rsid w:val="000A6CDD"/>
    <w:rsid w:val="000A7506"/>
    <w:rsid w:val="000B01B5"/>
    <w:rsid w:val="000B0B02"/>
    <w:rsid w:val="000B1412"/>
    <w:rsid w:val="000B19EC"/>
    <w:rsid w:val="000B31CF"/>
    <w:rsid w:val="000B3979"/>
    <w:rsid w:val="000B3BAB"/>
    <w:rsid w:val="000B3E4E"/>
    <w:rsid w:val="000B44BA"/>
    <w:rsid w:val="000B5070"/>
    <w:rsid w:val="000B5BB8"/>
    <w:rsid w:val="000B668C"/>
    <w:rsid w:val="000B6731"/>
    <w:rsid w:val="000C0CE5"/>
    <w:rsid w:val="000C1986"/>
    <w:rsid w:val="000C2030"/>
    <w:rsid w:val="000C2C02"/>
    <w:rsid w:val="000C3260"/>
    <w:rsid w:val="000C3FB5"/>
    <w:rsid w:val="000C41CD"/>
    <w:rsid w:val="000C48F0"/>
    <w:rsid w:val="000C6084"/>
    <w:rsid w:val="000C6C83"/>
    <w:rsid w:val="000C7339"/>
    <w:rsid w:val="000D0D35"/>
    <w:rsid w:val="000D12F2"/>
    <w:rsid w:val="000D1C4D"/>
    <w:rsid w:val="000D23E3"/>
    <w:rsid w:val="000D2CE5"/>
    <w:rsid w:val="000D44FE"/>
    <w:rsid w:val="000D4631"/>
    <w:rsid w:val="000D49E9"/>
    <w:rsid w:val="000D515E"/>
    <w:rsid w:val="000D57AB"/>
    <w:rsid w:val="000D5CAF"/>
    <w:rsid w:val="000D5DBF"/>
    <w:rsid w:val="000D6393"/>
    <w:rsid w:val="000D6F08"/>
    <w:rsid w:val="000D7313"/>
    <w:rsid w:val="000D7465"/>
    <w:rsid w:val="000D7F0F"/>
    <w:rsid w:val="000E04BB"/>
    <w:rsid w:val="000E22D3"/>
    <w:rsid w:val="000E25EE"/>
    <w:rsid w:val="000E2BCB"/>
    <w:rsid w:val="000E2EA4"/>
    <w:rsid w:val="000E373E"/>
    <w:rsid w:val="000E3E99"/>
    <w:rsid w:val="000E5C66"/>
    <w:rsid w:val="000E5FCE"/>
    <w:rsid w:val="000E6902"/>
    <w:rsid w:val="000E7848"/>
    <w:rsid w:val="000E7A2E"/>
    <w:rsid w:val="000F0CDE"/>
    <w:rsid w:val="000F0DB3"/>
    <w:rsid w:val="000F1DFA"/>
    <w:rsid w:val="000F20E6"/>
    <w:rsid w:val="000F3D2F"/>
    <w:rsid w:val="000F3F90"/>
    <w:rsid w:val="000F4990"/>
    <w:rsid w:val="000F5307"/>
    <w:rsid w:val="000F6AA1"/>
    <w:rsid w:val="000F6D45"/>
    <w:rsid w:val="000F701F"/>
    <w:rsid w:val="000F77C8"/>
    <w:rsid w:val="000F7E9E"/>
    <w:rsid w:val="0010065D"/>
    <w:rsid w:val="00100712"/>
    <w:rsid w:val="001008B6"/>
    <w:rsid w:val="00100DC2"/>
    <w:rsid w:val="0010157C"/>
    <w:rsid w:val="00103D3A"/>
    <w:rsid w:val="00104824"/>
    <w:rsid w:val="00104E26"/>
    <w:rsid w:val="0010634F"/>
    <w:rsid w:val="0010669A"/>
    <w:rsid w:val="00106DD8"/>
    <w:rsid w:val="00107CC3"/>
    <w:rsid w:val="001103E3"/>
    <w:rsid w:val="00110BDC"/>
    <w:rsid w:val="00110E71"/>
    <w:rsid w:val="00112AB0"/>
    <w:rsid w:val="00112C61"/>
    <w:rsid w:val="00114348"/>
    <w:rsid w:val="0011627E"/>
    <w:rsid w:val="00116555"/>
    <w:rsid w:val="001169C0"/>
    <w:rsid w:val="00122DC7"/>
    <w:rsid w:val="00123CDC"/>
    <w:rsid w:val="00123FA2"/>
    <w:rsid w:val="001256FC"/>
    <w:rsid w:val="00127E57"/>
    <w:rsid w:val="00130B4A"/>
    <w:rsid w:val="00131365"/>
    <w:rsid w:val="001316E0"/>
    <w:rsid w:val="00131A4A"/>
    <w:rsid w:val="00132CD6"/>
    <w:rsid w:val="001348FF"/>
    <w:rsid w:val="00134CE4"/>
    <w:rsid w:val="00134D51"/>
    <w:rsid w:val="00134E5E"/>
    <w:rsid w:val="0013518C"/>
    <w:rsid w:val="00136EFD"/>
    <w:rsid w:val="00137FEA"/>
    <w:rsid w:val="00140BBF"/>
    <w:rsid w:val="00140E91"/>
    <w:rsid w:val="00141B13"/>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3C00"/>
    <w:rsid w:val="001547DF"/>
    <w:rsid w:val="00156228"/>
    <w:rsid w:val="001565F5"/>
    <w:rsid w:val="001602F7"/>
    <w:rsid w:val="00160B53"/>
    <w:rsid w:val="0016180C"/>
    <w:rsid w:val="00161B07"/>
    <w:rsid w:val="00161C52"/>
    <w:rsid w:val="0016477D"/>
    <w:rsid w:val="001651AF"/>
    <w:rsid w:val="00165ABE"/>
    <w:rsid w:val="00166DFC"/>
    <w:rsid w:val="0016724B"/>
    <w:rsid w:val="00167548"/>
    <w:rsid w:val="0017038C"/>
    <w:rsid w:val="0017046F"/>
    <w:rsid w:val="00171099"/>
    <w:rsid w:val="00171298"/>
    <w:rsid w:val="00171F34"/>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AD8"/>
    <w:rsid w:val="00184EF0"/>
    <w:rsid w:val="00185780"/>
    <w:rsid w:val="0018724E"/>
    <w:rsid w:val="0018750B"/>
    <w:rsid w:val="0018781F"/>
    <w:rsid w:val="00190A50"/>
    <w:rsid w:val="00190C90"/>
    <w:rsid w:val="0019151A"/>
    <w:rsid w:val="00191AE9"/>
    <w:rsid w:val="00191EFE"/>
    <w:rsid w:val="00191FA0"/>
    <w:rsid w:val="00192169"/>
    <w:rsid w:val="001928B8"/>
    <w:rsid w:val="00192BE0"/>
    <w:rsid w:val="00192F8F"/>
    <w:rsid w:val="00193CB3"/>
    <w:rsid w:val="001940BC"/>
    <w:rsid w:val="00194B0F"/>
    <w:rsid w:val="00194BF1"/>
    <w:rsid w:val="001956A9"/>
    <w:rsid w:val="00195826"/>
    <w:rsid w:val="00195A32"/>
    <w:rsid w:val="001962B5"/>
    <w:rsid w:val="001976E3"/>
    <w:rsid w:val="00197D3E"/>
    <w:rsid w:val="00197FA4"/>
    <w:rsid w:val="00197FBC"/>
    <w:rsid w:val="001A03F5"/>
    <w:rsid w:val="001A0607"/>
    <w:rsid w:val="001A29F4"/>
    <w:rsid w:val="001A3365"/>
    <w:rsid w:val="001A3475"/>
    <w:rsid w:val="001A4924"/>
    <w:rsid w:val="001A4B6E"/>
    <w:rsid w:val="001A62C2"/>
    <w:rsid w:val="001A6823"/>
    <w:rsid w:val="001A68BF"/>
    <w:rsid w:val="001A71A6"/>
    <w:rsid w:val="001B0E4A"/>
    <w:rsid w:val="001B1F7F"/>
    <w:rsid w:val="001B283F"/>
    <w:rsid w:val="001B37E4"/>
    <w:rsid w:val="001B4ACA"/>
    <w:rsid w:val="001B5566"/>
    <w:rsid w:val="001B559B"/>
    <w:rsid w:val="001B65AB"/>
    <w:rsid w:val="001B6B41"/>
    <w:rsid w:val="001B6FAC"/>
    <w:rsid w:val="001B7A18"/>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5BC1"/>
    <w:rsid w:val="001D68AB"/>
    <w:rsid w:val="001D6B18"/>
    <w:rsid w:val="001D6C22"/>
    <w:rsid w:val="001D70A6"/>
    <w:rsid w:val="001D7124"/>
    <w:rsid w:val="001D724F"/>
    <w:rsid w:val="001D79F6"/>
    <w:rsid w:val="001D7A31"/>
    <w:rsid w:val="001E08E5"/>
    <w:rsid w:val="001E1ABE"/>
    <w:rsid w:val="001E1CDD"/>
    <w:rsid w:val="001E3E02"/>
    <w:rsid w:val="001E3FF2"/>
    <w:rsid w:val="001E4319"/>
    <w:rsid w:val="001E6079"/>
    <w:rsid w:val="001E6183"/>
    <w:rsid w:val="001E6A17"/>
    <w:rsid w:val="001E6BA5"/>
    <w:rsid w:val="001E6D77"/>
    <w:rsid w:val="001E71EF"/>
    <w:rsid w:val="001E74C3"/>
    <w:rsid w:val="001F0877"/>
    <w:rsid w:val="001F0B80"/>
    <w:rsid w:val="001F20D7"/>
    <w:rsid w:val="001F2167"/>
    <w:rsid w:val="001F27B2"/>
    <w:rsid w:val="001F2F3E"/>
    <w:rsid w:val="001F35BE"/>
    <w:rsid w:val="001F445B"/>
    <w:rsid w:val="001F530B"/>
    <w:rsid w:val="001F56A8"/>
    <w:rsid w:val="001F5AC9"/>
    <w:rsid w:val="001F6156"/>
    <w:rsid w:val="001F74FB"/>
    <w:rsid w:val="001F7632"/>
    <w:rsid w:val="00200330"/>
    <w:rsid w:val="002005AC"/>
    <w:rsid w:val="002005F3"/>
    <w:rsid w:val="002016AF"/>
    <w:rsid w:val="00201A7A"/>
    <w:rsid w:val="00203977"/>
    <w:rsid w:val="00203CE9"/>
    <w:rsid w:val="00204993"/>
    <w:rsid w:val="00204FA1"/>
    <w:rsid w:val="002050C8"/>
    <w:rsid w:val="00205120"/>
    <w:rsid w:val="00207141"/>
    <w:rsid w:val="002100DE"/>
    <w:rsid w:val="002106E1"/>
    <w:rsid w:val="00210808"/>
    <w:rsid w:val="00211138"/>
    <w:rsid w:val="002114D7"/>
    <w:rsid w:val="002115E3"/>
    <w:rsid w:val="002119A3"/>
    <w:rsid w:val="0021248D"/>
    <w:rsid w:val="002129B0"/>
    <w:rsid w:val="00212D3B"/>
    <w:rsid w:val="0021368D"/>
    <w:rsid w:val="002144DB"/>
    <w:rsid w:val="00214AF1"/>
    <w:rsid w:val="00220ACB"/>
    <w:rsid w:val="00220E0C"/>
    <w:rsid w:val="00221649"/>
    <w:rsid w:val="00221976"/>
    <w:rsid w:val="00222E3F"/>
    <w:rsid w:val="00223E7D"/>
    <w:rsid w:val="0022538D"/>
    <w:rsid w:val="00225441"/>
    <w:rsid w:val="00225573"/>
    <w:rsid w:val="0022598D"/>
    <w:rsid w:val="00225C43"/>
    <w:rsid w:val="00226DC1"/>
    <w:rsid w:val="00227396"/>
    <w:rsid w:val="002300EC"/>
    <w:rsid w:val="00230E8C"/>
    <w:rsid w:val="002310ED"/>
    <w:rsid w:val="002316D4"/>
    <w:rsid w:val="00231845"/>
    <w:rsid w:val="002319FC"/>
    <w:rsid w:val="00231C1D"/>
    <w:rsid w:val="002321A9"/>
    <w:rsid w:val="002322B7"/>
    <w:rsid w:val="002331F3"/>
    <w:rsid w:val="0023460C"/>
    <w:rsid w:val="00235B7E"/>
    <w:rsid w:val="00235D5B"/>
    <w:rsid w:val="0023659C"/>
    <w:rsid w:val="00240CBA"/>
    <w:rsid w:val="00241153"/>
    <w:rsid w:val="002416E4"/>
    <w:rsid w:val="002424A3"/>
    <w:rsid w:val="0024332C"/>
    <w:rsid w:val="00243EAA"/>
    <w:rsid w:val="0024460D"/>
    <w:rsid w:val="00244D3F"/>
    <w:rsid w:val="002463A2"/>
    <w:rsid w:val="00247106"/>
    <w:rsid w:val="002477F2"/>
    <w:rsid w:val="00250D1E"/>
    <w:rsid w:val="002535F9"/>
    <w:rsid w:val="00253A5B"/>
    <w:rsid w:val="00253D9C"/>
    <w:rsid w:val="00254B0C"/>
    <w:rsid w:val="002569E2"/>
    <w:rsid w:val="00257783"/>
    <w:rsid w:val="00257BC5"/>
    <w:rsid w:val="00257BF7"/>
    <w:rsid w:val="00260461"/>
    <w:rsid w:val="002609E8"/>
    <w:rsid w:val="00261278"/>
    <w:rsid w:val="0026304A"/>
    <w:rsid w:val="00263236"/>
    <w:rsid w:val="00264D9F"/>
    <w:rsid w:val="00265AB1"/>
    <w:rsid w:val="00265E6D"/>
    <w:rsid w:val="00270355"/>
    <w:rsid w:val="002706A5"/>
    <w:rsid w:val="00270BAB"/>
    <w:rsid w:val="00272B05"/>
    <w:rsid w:val="00272EE2"/>
    <w:rsid w:val="00273DE5"/>
    <w:rsid w:val="00273ECB"/>
    <w:rsid w:val="002749C8"/>
    <w:rsid w:val="00274CD1"/>
    <w:rsid w:val="00275784"/>
    <w:rsid w:val="00275B17"/>
    <w:rsid w:val="00276F5A"/>
    <w:rsid w:val="0027795E"/>
    <w:rsid w:val="0028118F"/>
    <w:rsid w:val="00281B1F"/>
    <w:rsid w:val="00281C7B"/>
    <w:rsid w:val="00281F85"/>
    <w:rsid w:val="002820D0"/>
    <w:rsid w:val="0028228E"/>
    <w:rsid w:val="00283AB3"/>
    <w:rsid w:val="00284106"/>
    <w:rsid w:val="00284B36"/>
    <w:rsid w:val="00285517"/>
    <w:rsid w:val="00286128"/>
    <w:rsid w:val="0028655C"/>
    <w:rsid w:val="00286968"/>
    <w:rsid w:val="0028737E"/>
    <w:rsid w:val="00290590"/>
    <w:rsid w:val="002907CA"/>
    <w:rsid w:val="002908EF"/>
    <w:rsid w:val="00290C93"/>
    <w:rsid w:val="002926D3"/>
    <w:rsid w:val="00294516"/>
    <w:rsid w:val="002954C3"/>
    <w:rsid w:val="00295CAF"/>
    <w:rsid w:val="00296B1A"/>
    <w:rsid w:val="00296D86"/>
    <w:rsid w:val="00296FB5"/>
    <w:rsid w:val="002974E9"/>
    <w:rsid w:val="002A29D3"/>
    <w:rsid w:val="002A313D"/>
    <w:rsid w:val="002A4CBF"/>
    <w:rsid w:val="002A6322"/>
    <w:rsid w:val="002A7077"/>
    <w:rsid w:val="002A7EA8"/>
    <w:rsid w:val="002B0AF1"/>
    <w:rsid w:val="002B106C"/>
    <w:rsid w:val="002B106F"/>
    <w:rsid w:val="002B17F3"/>
    <w:rsid w:val="002B277A"/>
    <w:rsid w:val="002B34B3"/>
    <w:rsid w:val="002B4E57"/>
    <w:rsid w:val="002B57CE"/>
    <w:rsid w:val="002B6C4A"/>
    <w:rsid w:val="002B75A0"/>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6E2"/>
    <w:rsid w:val="002C7CE9"/>
    <w:rsid w:val="002D0CD2"/>
    <w:rsid w:val="002D1686"/>
    <w:rsid w:val="002D22DD"/>
    <w:rsid w:val="002D2443"/>
    <w:rsid w:val="002D2C8C"/>
    <w:rsid w:val="002D2EF5"/>
    <w:rsid w:val="002D54F4"/>
    <w:rsid w:val="002D5ECC"/>
    <w:rsid w:val="002E06E8"/>
    <w:rsid w:val="002E09DB"/>
    <w:rsid w:val="002E12CF"/>
    <w:rsid w:val="002E202D"/>
    <w:rsid w:val="002E20CF"/>
    <w:rsid w:val="002E3E99"/>
    <w:rsid w:val="002E4858"/>
    <w:rsid w:val="002E5303"/>
    <w:rsid w:val="002E6141"/>
    <w:rsid w:val="002E755D"/>
    <w:rsid w:val="002E7775"/>
    <w:rsid w:val="002E7C0F"/>
    <w:rsid w:val="002E7FEA"/>
    <w:rsid w:val="002F0034"/>
    <w:rsid w:val="002F035B"/>
    <w:rsid w:val="002F10B7"/>
    <w:rsid w:val="002F142D"/>
    <w:rsid w:val="002F1A77"/>
    <w:rsid w:val="002F288E"/>
    <w:rsid w:val="002F2BAD"/>
    <w:rsid w:val="002F2BC7"/>
    <w:rsid w:val="002F2E09"/>
    <w:rsid w:val="002F3308"/>
    <w:rsid w:val="002F4FB0"/>
    <w:rsid w:val="002F5CAB"/>
    <w:rsid w:val="002F6925"/>
    <w:rsid w:val="003010A3"/>
    <w:rsid w:val="00302E97"/>
    <w:rsid w:val="003032C5"/>
    <w:rsid w:val="00303528"/>
    <w:rsid w:val="00303AED"/>
    <w:rsid w:val="003040FA"/>
    <w:rsid w:val="003044BC"/>
    <w:rsid w:val="003048A7"/>
    <w:rsid w:val="0030544C"/>
    <w:rsid w:val="003055FD"/>
    <w:rsid w:val="00305DFC"/>
    <w:rsid w:val="00311C7C"/>
    <w:rsid w:val="00311EC5"/>
    <w:rsid w:val="00312249"/>
    <w:rsid w:val="0031252B"/>
    <w:rsid w:val="0031342C"/>
    <w:rsid w:val="003136BD"/>
    <w:rsid w:val="003141DE"/>
    <w:rsid w:val="003154F4"/>
    <w:rsid w:val="003157EB"/>
    <w:rsid w:val="00315B7A"/>
    <w:rsid w:val="00316981"/>
    <w:rsid w:val="00317265"/>
    <w:rsid w:val="00317641"/>
    <w:rsid w:val="0032029A"/>
    <w:rsid w:val="0032045D"/>
    <w:rsid w:val="00321096"/>
    <w:rsid w:val="00321581"/>
    <w:rsid w:val="00321997"/>
    <w:rsid w:val="00321AC4"/>
    <w:rsid w:val="00322376"/>
    <w:rsid w:val="003229F6"/>
    <w:rsid w:val="00323A1D"/>
    <w:rsid w:val="00324299"/>
    <w:rsid w:val="003245C9"/>
    <w:rsid w:val="00325875"/>
    <w:rsid w:val="00325AA3"/>
    <w:rsid w:val="00327A80"/>
    <w:rsid w:val="003304CB"/>
    <w:rsid w:val="003307CA"/>
    <w:rsid w:val="00330E13"/>
    <w:rsid w:val="00331876"/>
    <w:rsid w:val="0033262E"/>
    <w:rsid w:val="0033267A"/>
    <w:rsid w:val="00332A08"/>
    <w:rsid w:val="003340D8"/>
    <w:rsid w:val="00334592"/>
    <w:rsid w:val="00334DA1"/>
    <w:rsid w:val="0033620D"/>
    <w:rsid w:val="003367CC"/>
    <w:rsid w:val="0033706D"/>
    <w:rsid w:val="00340CE6"/>
    <w:rsid w:val="00340D38"/>
    <w:rsid w:val="00340E0F"/>
    <w:rsid w:val="003413FD"/>
    <w:rsid w:val="00342983"/>
    <w:rsid w:val="003437BF"/>
    <w:rsid w:val="003437D1"/>
    <w:rsid w:val="0034413A"/>
    <w:rsid w:val="00344868"/>
    <w:rsid w:val="00344E66"/>
    <w:rsid w:val="0034513E"/>
    <w:rsid w:val="0034634E"/>
    <w:rsid w:val="00346524"/>
    <w:rsid w:val="00346F06"/>
    <w:rsid w:val="00347052"/>
    <w:rsid w:val="0034776A"/>
    <w:rsid w:val="00347C37"/>
    <w:rsid w:val="003506AB"/>
    <w:rsid w:val="003508A4"/>
    <w:rsid w:val="00351183"/>
    <w:rsid w:val="00352A70"/>
    <w:rsid w:val="0035314C"/>
    <w:rsid w:val="00354FD2"/>
    <w:rsid w:val="003554FE"/>
    <w:rsid w:val="00355540"/>
    <w:rsid w:val="00356170"/>
    <w:rsid w:val="00356453"/>
    <w:rsid w:val="003567C4"/>
    <w:rsid w:val="00356E58"/>
    <w:rsid w:val="0035750A"/>
    <w:rsid w:val="00357A15"/>
    <w:rsid w:val="003600EA"/>
    <w:rsid w:val="003604F9"/>
    <w:rsid w:val="003606D3"/>
    <w:rsid w:val="003617F6"/>
    <w:rsid w:val="00361E56"/>
    <w:rsid w:val="00362837"/>
    <w:rsid w:val="003631EB"/>
    <w:rsid w:val="00364D92"/>
    <w:rsid w:val="003662F5"/>
    <w:rsid w:val="0036633B"/>
    <w:rsid w:val="0036761C"/>
    <w:rsid w:val="0036765F"/>
    <w:rsid w:val="00367816"/>
    <w:rsid w:val="00367877"/>
    <w:rsid w:val="00370162"/>
    <w:rsid w:val="0037173A"/>
    <w:rsid w:val="00373781"/>
    <w:rsid w:val="0037382C"/>
    <w:rsid w:val="00373BE7"/>
    <w:rsid w:val="00373DF3"/>
    <w:rsid w:val="00375005"/>
    <w:rsid w:val="00375392"/>
    <w:rsid w:val="003753ED"/>
    <w:rsid w:val="003754C9"/>
    <w:rsid w:val="003801B4"/>
    <w:rsid w:val="0038039C"/>
    <w:rsid w:val="0038094F"/>
    <w:rsid w:val="00381F8B"/>
    <w:rsid w:val="003827C5"/>
    <w:rsid w:val="00382E63"/>
    <w:rsid w:val="00383354"/>
    <w:rsid w:val="00383C2D"/>
    <w:rsid w:val="003852AD"/>
    <w:rsid w:val="003866DE"/>
    <w:rsid w:val="00391C44"/>
    <w:rsid w:val="00392EDF"/>
    <w:rsid w:val="003933C2"/>
    <w:rsid w:val="0039429B"/>
    <w:rsid w:val="00395CD3"/>
    <w:rsid w:val="0039756F"/>
    <w:rsid w:val="00397BCC"/>
    <w:rsid w:val="003A012E"/>
    <w:rsid w:val="003A026C"/>
    <w:rsid w:val="003A39FB"/>
    <w:rsid w:val="003A50AE"/>
    <w:rsid w:val="003A5597"/>
    <w:rsid w:val="003A64A2"/>
    <w:rsid w:val="003A66A5"/>
    <w:rsid w:val="003A689E"/>
    <w:rsid w:val="003A7134"/>
    <w:rsid w:val="003A7564"/>
    <w:rsid w:val="003A7878"/>
    <w:rsid w:val="003B00EE"/>
    <w:rsid w:val="003B03D7"/>
    <w:rsid w:val="003B192D"/>
    <w:rsid w:val="003B2C54"/>
    <w:rsid w:val="003B305A"/>
    <w:rsid w:val="003B309A"/>
    <w:rsid w:val="003B39F7"/>
    <w:rsid w:val="003B3D3B"/>
    <w:rsid w:val="003B568E"/>
    <w:rsid w:val="003B580C"/>
    <w:rsid w:val="003B5838"/>
    <w:rsid w:val="003B5CDE"/>
    <w:rsid w:val="003B65FA"/>
    <w:rsid w:val="003B69AB"/>
    <w:rsid w:val="003B71A4"/>
    <w:rsid w:val="003B7774"/>
    <w:rsid w:val="003B7786"/>
    <w:rsid w:val="003B79C3"/>
    <w:rsid w:val="003C0408"/>
    <w:rsid w:val="003C1439"/>
    <w:rsid w:val="003C1A68"/>
    <w:rsid w:val="003C1B2A"/>
    <w:rsid w:val="003C2295"/>
    <w:rsid w:val="003C23BD"/>
    <w:rsid w:val="003C2433"/>
    <w:rsid w:val="003C2D98"/>
    <w:rsid w:val="003C3B8C"/>
    <w:rsid w:val="003C43A6"/>
    <w:rsid w:val="003C43F9"/>
    <w:rsid w:val="003C4DBD"/>
    <w:rsid w:val="003C4EC9"/>
    <w:rsid w:val="003C4F67"/>
    <w:rsid w:val="003C6709"/>
    <w:rsid w:val="003D1412"/>
    <w:rsid w:val="003D15CE"/>
    <w:rsid w:val="003D1853"/>
    <w:rsid w:val="003D2CF1"/>
    <w:rsid w:val="003D3518"/>
    <w:rsid w:val="003D3A81"/>
    <w:rsid w:val="003D3B30"/>
    <w:rsid w:val="003D3BD9"/>
    <w:rsid w:val="003D3D16"/>
    <w:rsid w:val="003D44CA"/>
    <w:rsid w:val="003D5152"/>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A20"/>
    <w:rsid w:val="003E5BA8"/>
    <w:rsid w:val="003E66C0"/>
    <w:rsid w:val="003E69BE"/>
    <w:rsid w:val="003F0E7F"/>
    <w:rsid w:val="003F1A46"/>
    <w:rsid w:val="003F1C36"/>
    <w:rsid w:val="003F3492"/>
    <w:rsid w:val="003F3F42"/>
    <w:rsid w:val="003F4012"/>
    <w:rsid w:val="003F42F0"/>
    <w:rsid w:val="003F4CF2"/>
    <w:rsid w:val="003F4DBB"/>
    <w:rsid w:val="003F5451"/>
    <w:rsid w:val="003F6368"/>
    <w:rsid w:val="003F6B07"/>
    <w:rsid w:val="003F707C"/>
    <w:rsid w:val="003F72BF"/>
    <w:rsid w:val="00400B6B"/>
    <w:rsid w:val="00401012"/>
    <w:rsid w:val="00401370"/>
    <w:rsid w:val="00401FBE"/>
    <w:rsid w:val="0040206E"/>
    <w:rsid w:val="00402730"/>
    <w:rsid w:val="0040283B"/>
    <w:rsid w:val="0040335F"/>
    <w:rsid w:val="00403F09"/>
    <w:rsid w:val="00404368"/>
    <w:rsid w:val="00404E71"/>
    <w:rsid w:val="00405630"/>
    <w:rsid w:val="00405C86"/>
    <w:rsid w:val="00406253"/>
    <w:rsid w:val="0040757F"/>
    <w:rsid w:val="00407D19"/>
    <w:rsid w:val="00407F18"/>
    <w:rsid w:val="004127AD"/>
    <w:rsid w:val="00412E40"/>
    <w:rsid w:val="004139E7"/>
    <w:rsid w:val="004148DC"/>
    <w:rsid w:val="004154D4"/>
    <w:rsid w:val="00415564"/>
    <w:rsid w:val="004155B0"/>
    <w:rsid w:val="00417942"/>
    <w:rsid w:val="00420413"/>
    <w:rsid w:val="00421CDA"/>
    <w:rsid w:val="00422F47"/>
    <w:rsid w:val="00422F4C"/>
    <w:rsid w:val="00423300"/>
    <w:rsid w:val="00423DCA"/>
    <w:rsid w:val="004249E7"/>
    <w:rsid w:val="004250B4"/>
    <w:rsid w:val="00425DC9"/>
    <w:rsid w:val="00425E89"/>
    <w:rsid w:val="00430D80"/>
    <w:rsid w:val="004312D3"/>
    <w:rsid w:val="00431839"/>
    <w:rsid w:val="00431E02"/>
    <w:rsid w:val="00431E2A"/>
    <w:rsid w:val="00432D6F"/>
    <w:rsid w:val="00434977"/>
    <w:rsid w:val="00434B9F"/>
    <w:rsid w:val="00434E4E"/>
    <w:rsid w:val="004350D5"/>
    <w:rsid w:val="0043553A"/>
    <w:rsid w:val="00435A32"/>
    <w:rsid w:val="004366B4"/>
    <w:rsid w:val="00436D2B"/>
    <w:rsid w:val="0043726A"/>
    <w:rsid w:val="00437591"/>
    <w:rsid w:val="004405B2"/>
    <w:rsid w:val="00440956"/>
    <w:rsid w:val="004409AC"/>
    <w:rsid w:val="004419AD"/>
    <w:rsid w:val="004441E2"/>
    <w:rsid w:val="00444BD2"/>
    <w:rsid w:val="00446458"/>
    <w:rsid w:val="00446637"/>
    <w:rsid w:val="00447775"/>
    <w:rsid w:val="0045013C"/>
    <w:rsid w:val="004505BD"/>
    <w:rsid w:val="0045134F"/>
    <w:rsid w:val="00451E00"/>
    <w:rsid w:val="004547B4"/>
    <w:rsid w:val="00455C40"/>
    <w:rsid w:val="00455C84"/>
    <w:rsid w:val="00456D2B"/>
    <w:rsid w:val="004576DD"/>
    <w:rsid w:val="00461013"/>
    <w:rsid w:val="0046239D"/>
    <w:rsid w:val="00462A56"/>
    <w:rsid w:val="00463DC4"/>
    <w:rsid w:val="00464E08"/>
    <w:rsid w:val="0046553C"/>
    <w:rsid w:val="00466123"/>
    <w:rsid w:val="00466BDD"/>
    <w:rsid w:val="00467808"/>
    <w:rsid w:val="00467A3F"/>
    <w:rsid w:val="004701B9"/>
    <w:rsid w:val="004711D4"/>
    <w:rsid w:val="004720FB"/>
    <w:rsid w:val="00472CC1"/>
    <w:rsid w:val="004741E2"/>
    <w:rsid w:val="0047423E"/>
    <w:rsid w:val="00474691"/>
    <w:rsid w:val="00474699"/>
    <w:rsid w:val="00475283"/>
    <w:rsid w:val="00475FEA"/>
    <w:rsid w:val="0047760F"/>
    <w:rsid w:val="00480DDD"/>
    <w:rsid w:val="0048151B"/>
    <w:rsid w:val="00481A08"/>
    <w:rsid w:val="00481E41"/>
    <w:rsid w:val="00481FB9"/>
    <w:rsid w:val="004831CD"/>
    <w:rsid w:val="00483C24"/>
    <w:rsid w:val="00484368"/>
    <w:rsid w:val="00484BD3"/>
    <w:rsid w:val="00486146"/>
    <w:rsid w:val="004862C1"/>
    <w:rsid w:val="004862E9"/>
    <w:rsid w:val="00487AAD"/>
    <w:rsid w:val="00487F15"/>
    <w:rsid w:val="00487F50"/>
    <w:rsid w:val="004908E6"/>
    <w:rsid w:val="00490F6A"/>
    <w:rsid w:val="00491069"/>
    <w:rsid w:val="0049327F"/>
    <w:rsid w:val="00493C85"/>
    <w:rsid w:val="00494081"/>
    <w:rsid w:val="00494CB8"/>
    <w:rsid w:val="0049525D"/>
    <w:rsid w:val="00495CA6"/>
    <w:rsid w:val="0049675E"/>
    <w:rsid w:val="00496850"/>
    <w:rsid w:val="004A0050"/>
    <w:rsid w:val="004A0A22"/>
    <w:rsid w:val="004A0D23"/>
    <w:rsid w:val="004A1558"/>
    <w:rsid w:val="004A3D7F"/>
    <w:rsid w:val="004A49D2"/>
    <w:rsid w:val="004A49EA"/>
    <w:rsid w:val="004A5113"/>
    <w:rsid w:val="004A6E10"/>
    <w:rsid w:val="004A7D38"/>
    <w:rsid w:val="004B0686"/>
    <w:rsid w:val="004B21FF"/>
    <w:rsid w:val="004B226D"/>
    <w:rsid w:val="004B2F38"/>
    <w:rsid w:val="004B52FB"/>
    <w:rsid w:val="004B57CC"/>
    <w:rsid w:val="004B6341"/>
    <w:rsid w:val="004B67F0"/>
    <w:rsid w:val="004C07C4"/>
    <w:rsid w:val="004C13CB"/>
    <w:rsid w:val="004C13E1"/>
    <w:rsid w:val="004C1A54"/>
    <w:rsid w:val="004C252D"/>
    <w:rsid w:val="004C265B"/>
    <w:rsid w:val="004C2750"/>
    <w:rsid w:val="004C2B85"/>
    <w:rsid w:val="004C2D9F"/>
    <w:rsid w:val="004C2EC5"/>
    <w:rsid w:val="004C326A"/>
    <w:rsid w:val="004C4077"/>
    <w:rsid w:val="004C49F6"/>
    <w:rsid w:val="004C5D5B"/>
    <w:rsid w:val="004C7711"/>
    <w:rsid w:val="004C7A19"/>
    <w:rsid w:val="004C7B1F"/>
    <w:rsid w:val="004D0070"/>
    <w:rsid w:val="004D020D"/>
    <w:rsid w:val="004D02A0"/>
    <w:rsid w:val="004D0F38"/>
    <w:rsid w:val="004D1B94"/>
    <w:rsid w:val="004D28DE"/>
    <w:rsid w:val="004D3D17"/>
    <w:rsid w:val="004D529B"/>
    <w:rsid w:val="004D602D"/>
    <w:rsid w:val="004D6697"/>
    <w:rsid w:val="004D6A5B"/>
    <w:rsid w:val="004D6EFC"/>
    <w:rsid w:val="004D75E7"/>
    <w:rsid w:val="004D7B88"/>
    <w:rsid w:val="004D7F33"/>
    <w:rsid w:val="004E0023"/>
    <w:rsid w:val="004E02BB"/>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04AC"/>
    <w:rsid w:val="004F11D2"/>
    <w:rsid w:val="004F1298"/>
    <w:rsid w:val="004F34C3"/>
    <w:rsid w:val="004F4308"/>
    <w:rsid w:val="004F43B7"/>
    <w:rsid w:val="004F5198"/>
    <w:rsid w:val="004F6D50"/>
    <w:rsid w:val="004F7AC9"/>
    <w:rsid w:val="00500AC2"/>
    <w:rsid w:val="00501114"/>
    <w:rsid w:val="0050242A"/>
    <w:rsid w:val="00502B39"/>
    <w:rsid w:val="005030C7"/>
    <w:rsid w:val="0050425E"/>
    <w:rsid w:val="00504546"/>
    <w:rsid w:val="0050575B"/>
    <w:rsid w:val="00506000"/>
    <w:rsid w:val="00506A33"/>
    <w:rsid w:val="00510403"/>
    <w:rsid w:val="00513EE8"/>
    <w:rsid w:val="00514D60"/>
    <w:rsid w:val="0051538C"/>
    <w:rsid w:val="00515390"/>
    <w:rsid w:val="0051568D"/>
    <w:rsid w:val="00515C98"/>
    <w:rsid w:val="005169A6"/>
    <w:rsid w:val="00516CF2"/>
    <w:rsid w:val="0051799E"/>
    <w:rsid w:val="00522AAF"/>
    <w:rsid w:val="0052321C"/>
    <w:rsid w:val="005239B1"/>
    <w:rsid w:val="00523AE7"/>
    <w:rsid w:val="005245D8"/>
    <w:rsid w:val="00526A6C"/>
    <w:rsid w:val="00526EAA"/>
    <w:rsid w:val="0053079F"/>
    <w:rsid w:val="00531101"/>
    <w:rsid w:val="005318F9"/>
    <w:rsid w:val="00532D9F"/>
    <w:rsid w:val="00532E94"/>
    <w:rsid w:val="00533378"/>
    <w:rsid w:val="00533380"/>
    <w:rsid w:val="005338FF"/>
    <w:rsid w:val="005345B5"/>
    <w:rsid w:val="00535A5E"/>
    <w:rsid w:val="00535F9D"/>
    <w:rsid w:val="005363B6"/>
    <w:rsid w:val="005373E5"/>
    <w:rsid w:val="005410AD"/>
    <w:rsid w:val="00541B9B"/>
    <w:rsid w:val="00541C5C"/>
    <w:rsid w:val="00541DEB"/>
    <w:rsid w:val="0054217E"/>
    <w:rsid w:val="005426BF"/>
    <w:rsid w:val="00542F24"/>
    <w:rsid w:val="005430FA"/>
    <w:rsid w:val="00543114"/>
    <w:rsid w:val="0054335E"/>
    <w:rsid w:val="00543483"/>
    <w:rsid w:val="005436FA"/>
    <w:rsid w:val="005437D0"/>
    <w:rsid w:val="00543DB9"/>
    <w:rsid w:val="00543FE1"/>
    <w:rsid w:val="005444B4"/>
    <w:rsid w:val="005444E9"/>
    <w:rsid w:val="00544B7D"/>
    <w:rsid w:val="00545676"/>
    <w:rsid w:val="00546832"/>
    <w:rsid w:val="00546D61"/>
    <w:rsid w:val="00547B3A"/>
    <w:rsid w:val="00551185"/>
    <w:rsid w:val="0055278D"/>
    <w:rsid w:val="00552B14"/>
    <w:rsid w:val="005543C7"/>
    <w:rsid w:val="00554A64"/>
    <w:rsid w:val="0055546D"/>
    <w:rsid w:val="005556E4"/>
    <w:rsid w:val="00555A24"/>
    <w:rsid w:val="00555B04"/>
    <w:rsid w:val="00556B99"/>
    <w:rsid w:val="0056017B"/>
    <w:rsid w:val="0056093B"/>
    <w:rsid w:val="00561742"/>
    <w:rsid w:val="00562AD2"/>
    <w:rsid w:val="00562DB5"/>
    <w:rsid w:val="0056573E"/>
    <w:rsid w:val="00565FF9"/>
    <w:rsid w:val="00566AB9"/>
    <w:rsid w:val="00566E67"/>
    <w:rsid w:val="00567DF1"/>
    <w:rsid w:val="00567ECA"/>
    <w:rsid w:val="00567FDD"/>
    <w:rsid w:val="00570251"/>
    <w:rsid w:val="00570E63"/>
    <w:rsid w:val="005716A1"/>
    <w:rsid w:val="00571A42"/>
    <w:rsid w:val="00571ACE"/>
    <w:rsid w:val="00572A00"/>
    <w:rsid w:val="00573CD7"/>
    <w:rsid w:val="00574A5E"/>
    <w:rsid w:val="00575836"/>
    <w:rsid w:val="00576AD2"/>
    <w:rsid w:val="005775ED"/>
    <w:rsid w:val="005802C5"/>
    <w:rsid w:val="00581A10"/>
    <w:rsid w:val="00581A9B"/>
    <w:rsid w:val="005831F0"/>
    <w:rsid w:val="005838EB"/>
    <w:rsid w:val="00584581"/>
    <w:rsid w:val="005848C4"/>
    <w:rsid w:val="00584CB5"/>
    <w:rsid w:val="005850D5"/>
    <w:rsid w:val="00585407"/>
    <w:rsid w:val="005856CB"/>
    <w:rsid w:val="00585BA1"/>
    <w:rsid w:val="00586508"/>
    <w:rsid w:val="00586886"/>
    <w:rsid w:val="00587221"/>
    <w:rsid w:val="00590196"/>
    <w:rsid w:val="005903DE"/>
    <w:rsid w:val="0059198B"/>
    <w:rsid w:val="00591A4B"/>
    <w:rsid w:val="00593295"/>
    <w:rsid w:val="005932AA"/>
    <w:rsid w:val="00593986"/>
    <w:rsid w:val="005939A6"/>
    <w:rsid w:val="00593FA1"/>
    <w:rsid w:val="00597EBD"/>
    <w:rsid w:val="005A0433"/>
    <w:rsid w:val="005A04F8"/>
    <w:rsid w:val="005A05B2"/>
    <w:rsid w:val="005A17B9"/>
    <w:rsid w:val="005A1A32"/>
    <w:rsid w:val="005A1B4C"/>
    <w:rsid w:val="005A20DA"/>
    <w:rsid w:val="005A30AF"/>
    <w:rsid w:val="005A3513"/>
    <w:rsid w:val="005A424B"/>
    <w:rsid w:val="005A4865"/>
    <w:rsid w:val="005A4BD1"/>
    <w:rsid w:val="005A4C81"/>
    <w:rsid w:val="005A53C0"/>
    <w:rsid w:val="005A5B69"/>
    <w:rsid w:val="005A775D"/>
    <w:rsid w:val="005B0C35"/>
    <w:rsid w:val="005B0E71"/>
    <w:rsid w:val="005B0E84"/>
    <w:rsid w:val="005B132B"/>
    <w:rsid w:val="005B206F"/>
    <w:rsid w:val="005B48F0"/>
    <w:rsid w:val="005B5262"/>
    <w:rsid w:val="005B61A7"/>
    <w:rsid w:val="005B7089"/>
    <w:rsid w:val="005C09E3"/>
    <w:rsid w:val="005C0F28"/>
    <w:rsid w:val="005C324E"/>
    <w:rsid w:val="005C387C"/>
    <w:rsid w:val="005C4474"/>
    <w:rsid w:val="005C4514"/>
    <w:rsid w:val="005C4781"/>
    <w:rsid w:val="005C5A45"/>
    <w:rsid w:val="005D027F"/>
    <w:rsid w:val="005D0375"/>
    <w:rsid w:val="005D0B98"/>
    <w:rsid w:val="005D0E44"/>
    <w:rsid w:val="005D1045"/>
    <w:rsid w:val="005D1206"/>
    <w:rsid w:val="005D25B3"/>
    <w:rsid w:val="005D25DE"/>
    <w:rsid w:val="005D3133"/>
    <w:rsid w:val="005D389D"/>
    <w:rsid w:val="005D594B"/>
    <w:rsid w:val="005D63F1"/>
    <w:rsid w:val="005D699F"/>
    <w:rsid w:val="005D6A13"/>
    <w:rsid w:val="005D7E83"/>
    <w:rsid w:val="005E142E"/>
    <w:rsid w:val="005E15A1"/>
    <w:rsid w:val="005E1E11"/>
    <w:rsid w:val="005E2AD2"/>
    <w:rsid w:val="005E33CC"/>
    <w:rsid w:val="005E4333"/>
    <w:rsid w:val="005E5332"/>
    <w:rsid w:val="005E5458"/>
    <w:rsid w:val="005E5A15"/>
    <w:rsid w:val="005E6291"/>
    <w:rsid w:val="005E7CDE"/>
    <w:rsid w:val="005F0229"/>
    <w:rsid w:val="005F14B4"/>
    <w:rsid w:val="005F279F"/>
    <w:rsid w:val="005F292D"/>
    <w:rsid w:val="005F3562"/>
    <w:rsid w:val="005F3780"/>
    <w:rsid w:val="005F3941"/>
    <w:rsid w:val="005F484B"/>
    <w:rsid w:val="005F5150"/>
    <w:rsid w:val="005F64E9"/>
    <w:rsid w:val="005F70CC"/>
    <w:rsid w:val="005F727E"/>
    <w:rsid w:val="005F7888"/>
    <w:rsid w:val="00600132"/>
    <w:rsid w:val="00600D72"/>
    <w:rsid w:val="006026D9"/>
    <w:rsid w:val="00603094"/>
    <w:rsid w:val="00603893"/>
    <w:rsid w:val="006039F5"/>
    <w:rsid w:val="00603DCE"/>
    <w:rsid w:val="00604DB7"/>
    <w:rsid w:val="00604EAA"/>
    <w:rsid w:val="006054C9"/>
    <w:rsid w:val="006060E6"/>
    <w:rsid w:val="00606312"/>
    <w:rsid w:val="0060673F"/>
    <w:rsid w:val="0060726F"/>
    <w:rsid w:val="00607341"/>
    <w:rsid w:val="00607EE0"/>
    <w:rsid w:val="00611084"/>
    <w:rsid w:val="0061245D"/>
    <w:rsid w:val="00612E84"/>
    <w:rsid w:val="006136AC"/>
    <w:rsid w:val="00613930"/>
    <w:rsid w:val="0061440B"/>
    <w:rsid w:val="00614841"/>
    <w:rsid w:val="00616117"/>
    <w:rsid w:val="00617B2E"/>
    <w:rsid w:val="006211ED"/>
    <w:rsid w:val="00621FC6"/>
    <w:rsid w:val="006234D2"/>
    <w:rsid w:val="006239E7"/>
    <w:rsid w:val="00624D94"/>
    <w:rsid w:val="006253D0"/>
    <w:rsid w:val="00625575"/>
    <w:rsid w:val="0062621D"/>
    <w:rsid w:val="00626694"/>
    <w:rsid w:val="00626CAF"/>
    <w:rsid w:val="006279C1"/>
    <w:rsid w:val="00627B6C"/>
    <w:rsid w:val="00627EF1"/>
    <w:rsid w:val="00630230"/>
    <w:rsid w:val="006329BF"/>
    <w:rsid w:val="00633DD5"/>
    <w:rsid w:val="00635028"/>
    <w:rsid w:val="00635943"/>
    <w:rsid w:val="00635A6D"/>
    <w:rsid w:val="00636AFB"/>
    <w:rsid w:val="00637586"/>
    <w:rsid w:val="006379B2"/>
    <w:rsid w:val="0064062F"/>
    <w:rsid w:val="006410FE"/>
    <w:rsid w:val="006444D5"/>
    <w:rsid w:val="006448D7"/>
    <w:rsid w:val="00644DE1"/>
    <w:rsid w:val="00645238"/>
    <w:rsid w:val="0064528C"/>
    <w:rsid w:val="00645373"/>
    <w:rsid w:val="00645FA0"/>
    <w:rsid w:val="00646D76"/>
    <w:rsid w:val="00647636"/>
    <w:rsid w:val="00651F7D"/>
    <w:rsid w:val="006532C7"/>
    <w:rsid w:val="00654108"/>
    <w:rsid w:val="00655349"/>
    <w:rsid w:val="00655386"/>
    <w:rsid w:val="0065565C"/>
    <w:rsid w:val="006557AC"/>
    <w:rsid w:val="00655F7E"/>
    <w:rsid w:val="006562BB"/>
    <w:rsid w:val="006567BC"/>
    <w:rsid w:val="006568A5"/>
    <w:rsid w:val="00656C46"/>
    <w:rsid w:val="00656C6D"/>
    <w:rsid w:val="00657187"/>
    <w:rsid w:val="006575CC"/>
    <w:rsid w:val="00660538"/>
    <w:rsid w:val="006627ED"/>
    <w:rsid w:val="00663E69"/>
    <w:rsid w:val="00665E47"/>
    <w:rsid w:val="00666B88"/>
    <w:rsid w:val="00666EA5"/>
    <w:rsid w:val="00667269"/>
    <w:rsid w:val="006701F7"/>
    <w:rsid w:val="00673620"/>
    <w:rsid w:val="00673CD2"/>
    <w:rsid w:val="00675EFE"/>
    <w:rsid w:val="00676B5A"/>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5F9D"/>
    <w:rsid w:val="0068613C"/>
    <w:rsid w:val="00686C40"/>
    <w:rsid w:val="006877C3"/>
    <w:rsid w:val="0069017E"/>
    <w:rsid w:val="0069099B"/>
    <w:rsid w:val="00691685"/>
    <w:rsid w:val="00692653"/>
    <w:rsid w:val="006927E9"/>
    <w:rsid w:val="006928DC"/>
    <w:rsid w:val="00692942"/>
    <w:rsid w:val="00692B2A"/>
    <w:rsid w:val="006934BB"/>
    <w:rsid w:val="0069448F"/>
    <w:rsid w:val="00694A4D"/>
    <w:rsid w:val="006954D1"/>
    <w:rsid w:val="00697535"/>
    <w:rsid w:val="00697C59"/>
    <w:rsid w:val="00697D62"/>
    <w:rsid w:val="006A1445"/>
    <w:rsid w:val="006A260C"/>
    <w:rsid w:val="006A3075"/>
    <w:rsid w:val="006A47C9"/>
    <w:rsid w:val="006A4852"/>
    <w:rsid w:val="006A4C3E"/>
    <w:rsid w:val="006A533F"/>
    <w:rsid w:val="006A6DEA"/>
    <w:rsid w:val="006A6DF0"/>
    <w:rsid w:val="006A7B1E"/>
    <w:rsid w:val="006B09ED"/>
    <w:rsid w:val="006B2628"/>
    <w:rsid w:val="006B2683"/>
    <w:rsid w:val="006B2928"/>
    <w:rsid w:val="006B3022"/>
    <w:rsid w:val="006B36DD"/>
    <w:rsid w:val="006B43CA"/>
    <w:rsid w:val="006B49CF"/>
    <w:rsid w:val="006B5BFC"/>
    <w:rsid w:val="006B6C18"/>
    <w:rsid w:val="006C02A1"/>
    <w:rsid w:val="006C0CE3"/>
    <w:rsid w:val="006C151C"/>
    <w:rsid w:val="006C24F2"/>
    <w:rsid w:val="006C252F"/>
    <w:rsid w:val="006C2A25"/>
    <w:rsid w:val="006C2B09"/>
    <w:rsid w:val="006C3073"/>
    <w:rsid w:val="006C7617"/>
    <w:rsid w:val="006D02E3"/>
    <w:rsid w:val="006D0931"/>
    <w:rsid w:val="006D0D93"/>
    <w:rsid w:val="006D104F"/>
    <w:rsid w:val="006D1CFC"/>
    <w:rsid w:val="006D2509"/>
    <w:rsid w:val="006D2D37"/>
    <w:rsid w:val="006D41C5"/>
    <w:rsid w:val="006D45A8"/>
    <w:rsid w:val="006D50A9"/>
    <w:rsid w:val="006D6095"/>
    <w:rsid w:val="006D6ABC"/>
    <w:rsid w:val="006D6EAE"/>
    <w:rsid w:val="006D7314"/>
    <w:rsid w:val="006D764A"/>
    <w:rsid w:val="006D7A90"/>
    <w:rsid w:val="006D7ABA"/>
    <w:rsid w:val="006D7D46"/>
    <w:rsid w:val="006D7DAA"/>
    <w:rsid w:val="006E0E65"/>
    <w:rsid w:val="006E1368"/>
    <w:rsid w:val="006E2A6B"/>
    <w:rsid w:val="006E2C93"/>
    <w:rsid w:val="006E2F7B"/>
    <w:rsid w:val="006E39A7"/>
    <w:rsid w:val="006E47F6"/>
    <w:rsid w:val="006E4D4E"/>
    <w:rsid w:val="006E57FD"/>
    <w:rsid w:val="006E69EA"/>
    <w:rsid w:val="006E6B67"/>
    <w:rsid w:val="006E7CF1"/>
    <w:rsid w:val="006F0E72"/>
    <w:rsid w:val="006F10DC"/>
    <w:rsid w:val="006F2A5A"/>
    <w:rsid w:val="006F3026"/>
    <w:rsid w:val="006F36C0"/>
    <w:rsid w:val="006F47BC"/>
    <w:rsid w:val="006F622C"/>
    <w:rsid w:val="00701249"/>
    <w:rsid w:val="007016BD"/>
    <w:rsid w:val="00701C66"/>
    <w:rsid w:val="0070223D"/>
    <w:rsid w:val="0070242D"/>
    <w:rsid w:val="00702BCC"/>
    <w:rsid w:val="007037A9"/>
    <w:rsid w:val="00703B2B"/>
    <w:rsid w:val="00703C95"/>
    <w:rsid w:val="00705315"/>
    <w:rsid w:val="007055F0"/>
    <w:rsid w:val="00705877"/>
    <w:rsid w:val="0070609E"/>
    <w:rsid w:val="00706309"/>
    <w:rsid w:val="007076D9"/>
    <w:rsid w:val="00707BA0"/>
    <w:rsid w:val="00710545"/>
    <w:rsid w:val="007107AE"/>
    <w:rsid w:val="00710DC5"/>
    <w:rsid w:val="007113FD"/>
    <w:rsid w:val="00711699"/>
    <w:rsid w:val="00712B89"/>
    <w:rsid w:val="007132CC"/>
    <w:rsid w:val="00713943"/>
    <w:rsid w:val="00714EB1"/>
    <w:rsid w:val="00715120"/>
    <w:rsid w:val="007157F1"/>
    <w:rsid w:val="00715C24"/>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0B08"/>
    <w:rsid w:val="00730F58"/>
    <w:rsid w:val="007336DA"/>
    <w:rsid w:val="007358C4"/>
    <w:rsid w:val="00735D34"/>
    <w:rsid w:val="007368F3"/>
    <w:rsid w:val="00736B7E"/>
    <w:rsid w:val="0073749C"/>
    <w:rsid w:val="00737969"/>
    <w:rsid w:val="007405B9"/>
    <w:rsid w:val="00740C53"/>
    <w:rsid w:val="00741D42"/>
    <w:rsid w:val="00743C01"/>
    <w:rsid w:val="00743CFC"/>
    <w:rsid w:val="0074491A"/>
    <w:rsid w:val="00744993"/>
    <w:rsid w:val="00745C90"/>
    <w:rsid w:val="00746C02"/>
    <w:rsid w:val="00747AA2"/>
    <w:rsid w:val="00747DCE"/>
    <w:rsid w:val="00747F83"/>
    <w:rsid w:val="00750473"/>
    <w:rsid w:val="00751357"/>
    <w:rsid w:val="007515A7"/>
    <w:rsid w:val="007519D2"/>
    <w:rsid w:val="00753461"/>
    <w:rsid w:val="0075357E"/>
    <w:rsid w:val="0075364D"/>
    <w:rsid w:val="0075391D"/>
    <w:rsid w:val="00753FBB"/>
    <w:rsid w:val="0075647B"/>
    <w:rsid w:val="00756A18"/>
    <w:rsid w:val="007604CF"/>
    <w:rsid w:val="00760A36"/>
    <w:rsid w:val="00761442"/>
    <w:rsid w:val="00761FF0"/>
    <w:rsid w:val="00762776"/>
    <w:rsid w:val="00762F60"/>
    <w:rsid w:val="0076309A"/>
    <w:rsid w:val="00763141"/>
    <w:rsid w:val="0076347F"/>
    <w:rsid w:val="00763580"/>
    <w:rsid w:val="00764266"/>
    <w:rsid w:val="00764384"/>
    <w:rsid w:val="00765531"/>
    <w:rsid w:val="00765F78"/>
    <w:rsid w:val="007677C0"/>
    <w:rsid w:val="0077082C"/>
    <w:rsid w:val="00770B92"/>
    <w:rsid w:val="00771095"/>
    <w:rsid w:val="007715D2"/>
    <w:rsid w:val="00771632"/>
    <w:rsid w:val="00771B94"/>
    <w:rsid w:val="00774216"/>
    <w:rsid w:val="00774892"/>
    <w:rsid w:val="00774B75"/>
    <w:rsid w:val="00774CDB"/>
    <w:rsid w:val="00775EC5"/>
    <w:rsid w:val="0077721A"/>
    <w:rsid w:val="00777758"/>
    <w:rsid w:val="007777E4"/>
    <w:rsid w:val="00777B7A"/>
    <w:rsid w:val="007806AE"/>
    <w:rsid w:val="00780906"/>
    <w:rsid w:val="00780DAC"/>
    <w:rsid w:val="00781021"/>
    <w:rsid w:val="00782D0C"/>
    <w:rsid w:val="0078309E"/>
    <w:rsid w:val="00783192"/>
    <w:rsid w:val="00783A8F"/>
    <w:rsid w:val="00783D3C"/>
    <w:rsid w:val="00783F2D"/>
    <w:rsid w:val="00784A2E"/>
    <w:rsid w:val="0078704D"/>
    <w:rsid w:val="007878D2"/>
    <w:rsid w:val="00787ADA"/>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EE3"/>
    <w:rsid w:val="007A4F34"/>
    <w:rsid w:val="007A5510"/>
    <w:rsid w:val="007A5CF8"/>
    <w:rsid w:val="007A6025"/>
    <w:rsid w:val="007A763B"/>
    <w:rsid w:val="007B0665"/>
    <w:rsid w:val="007B0733"/>
    <w:rsid w:val="007B0FE7"/>
    <w:rsid w:val="007B10E8"/>
    <w:rsid w:val="007B18BA"/>
    <w:rsid w:val="007B4D0E"/>
    <w:rsid w:val="007B520B"/>
    <w:rsid w:val="007B5849"/>
    <w:rsid w:val="007B6A8E"/>
    <w:rsid w:val="007B6C26"/>
    <w:rsid w:val="007B6E35"/>
    <w:rsid w:val="007B76CB"/>
    <w:rsid w:val="007C040D"/>
    <w:rsid w:val="007C053D"/>
    <w:rsid w:val="007C0F6F"/>
    <w:rsid w:val="007C12A0"/>
    <w:rsid w:val="007C16B1"/>
    <w:rsid w:val="007C196E"/>
    <w:rsid w:val="007C2828"/>
    <w:rsid w:val="007C2919"/>
    <w:rsid w:val="007C2D37"/>
    <w:rsid w:val="007C43E1"/>
    <w:rsid w:val="007C48AF"/>
    <w:rsid w:val="007C53F9"/>
    <w:rsid w:val="007C58C2"/>
    <w:rsid w:val="007C6012"/>
    <w:rsid w:val="007C6BDC"/>
    <w:rsid w:val="007D0C2E"/>
    <w:rsid w:val="007D2281"/>
    <w:rsid w:val="007D2E28"/>
    <w:rsid w:val="007D3601"/>
    <w:rsid w:val="007D4091"/>
    <w:rsid w:val="007D48FD"/>
    <w:rsid w:val="007D53F0"/>
    <w:rsid w:val="007D62FE"/>
    <w:rsid w:val="007E02CD"/>
    <w:rsid w:val="007E17DE"/>
    <w:rsid w:val="007E196E"/>
    <w:rsid w:val="007E2C0C"/>
    <w:rsid w:val="007E35BF"/>
    <w:rsid w:val="007E4044"/>
    <w:rsid w:val="007E48DE"/>
    <w:rsid w:val="007E4992"/>
    <w:rsid w:val="007E4C40"/>
    <w:rsid w:val="007E4E8B"/>
    <w:rsid w:val="007E7517"/>
    <w:rsid w:val="007F071C"/>
    <w:rsid w:val="007F0F2B"/>
    <w:rsid w:val="007F13BF"/>
    <w:rsid w:val="007F1C1E"/>
    <w:rsid w:val="007F1E01"/>
    <w:rsid w:val="007F269F"/>
    <w:rsid w:val="007F2B90"/>
    <w:rsid w:val="007F2CC0"/>
    <w:rsid w:val="007F3437"/>
    <w:rsid w:val="007F3C7E"/>
    <w:rsid w:val="007F4265"/>
    <w:rsid w:val="007F464D"/>
    <w:rsid w:val="007F4C74"/>
    <w:rsid w:val="007F4E89"/>
    <w:rsid w:val="007F52D8"/>
    <w:rsid w:val="007F6CB8"/>
    <w:rsid w:val="007F6D12"/>
    <w:rsid w:val="007F73EB"/>
    <w:rsid w:val="0080039B"/>
    <w:rsid w:val="00801297"/>
    <w:rsid w:val="0080230F"/>
    <w:rsid w:val="0080392B"/>
    <w:rsid w:val="00804CC6"/>
    <w:rsid w:val="00806277"/>
    <w:rsid w:val="00806DBB"/>
    <w:rsid w:val="00807B9C"/>
    <w:rsid w:val="00810396"/>
    <w:rsid w:val="00810C04"/>
    <w:rsid w:val="008116CA"/>
    <w:rsid w:val="00812340"/>
    <w:rsid w:val="0081308D"/>
    <w:rsid w:val="00813692"/>
    <w:rsid w:val="0081473D"/>
    <w:rsid w:val="00814959"/>
    <w:rsid w:val="00814E23"/>
    <w:rsid w:val="00815470"/>
    <w:rsid w:val="00815974"/>
    <w:rsid w:val="00815E0D"/>
    <w:rsid w:val="00817479"/>
    <w:rsid w:val="008207F5"/>
    <w:rsid w:val="00820E0A"/>
    <w:rsid w:val="008212BE"/>
    <w:rsid w:val="00822200"/>
    <w:rsid w:val="00822743"/>
    <w:rsid w:val="00823187"/>
    <w:rsid w:val="00823F8B"/>
    <w:rsid w:val="0082461F"/>
    <w:rsid w:val="00825F55"/>
    <w:rsid w:val="0082686D"/>
    <w:rsid w:val="00831909"/>
    <w:rsid w:val="00831D08"/>
    <w:rsid w:val="008323EF"/>
    <w:rsid w:val="00832408"/>
    <w:rsid w:val="00832AAA"/>
    <w:rsid w:val="00833004"/>
    <w:rsid w:val="00833F0F"/>
    <w:rsid w:val="00834405"/>
    <w:rsid w:val="0083519F"/>
    <w:rsid w:val="00835653"/>
    <w:rsid w:val="0083664A"/>
    <w:rsid w:val="0084019B"/>
    <w:rsid w:val="00841679"/>
    <w:rsid w:val="00841E90"/>
    <w:rsid w:val="008424A0"/>
    <w:rsid w:val="008427B7"/>
    <w:rsid w:val="00844D26"/>
    <w:rsid w:val="00844F36"/>
    <w:rsid w:val="00844F85"/>
    <w:rsid w:val="00845037"/>
    <w:rsid w:val="008454C5"/>
    <w:rsid w:val="0084555C"/>
    <w:rsid w:val="0084595A"/>
    <w:rsid w:val="00846501"/>
    <w:rsid w:val="0084690D"/>
    <w:rsid w:val="00847BE5"/>
    <w:rsid w:val="008501C8"/>
    <w:rsid w:val="00850707"/>
    <w:rsid w:val="008513F6"/>
    <w:rsid w:val="00851B75"/>
    <w:rsid w:val="008521C4"/>
    <w:rsid w:val="00852375"/>
    <w:rsid w:val="008524B3"/>
    <w:rsid w:val="00852B63"/>
    <w:rsid w:val="008550A6"/>
    <w:rsid w:val="00855B05"/>
    <w:rsid w:val="0085607A"/>
    <w:rsid w:val="00856488"/>
    <w:rsid w:val="00861341"/>
    <w:rsid w:val="00862114"/>
    <w:rsid w:val="00862F22"/>
    <w:rsid w:val="00863960"/>
    <w:rsid w:val="00863FDF"/>
    <w:rsid w:val="00864D40"/>
    <w:rsid w:val="00865C21"/>
    <w:rsid w:val="00866ACC"/>
    <w:rsid w:val="00866F28"/>
    <w:rsid w:val="00867109"/>
    <w:rsid w:val="00867609"/>
    <w:rsid w:val="008676AD"/>
    <w:rsid w:val="00867A28"/>
    <w:rsid w:val="008705D7"/>
    <w:rsid w:val="0087085A"/>
    <w:rsid w:val="00871969"/>
    <w:rsid w:val="00873429"/>
    <w:rsid w:val="00873485"/>
    <w:rsid w:val="00873F0F"/>
    <w:rsid w:val="00874CD6"/>
    <w:rsid w:val="00874E19"/>
    <w:rsid w:val="00875E39"/>
    <w:rsid w:val="0087664F"/>
    <w:rsid w:val="0087753E"/>
    <w:rsid w:val="00877D07"/>
    <w:rsid w:val="00880447"/>
    <w:rsid w:val="00881A05"/>
    <w:rsid w:val="00882362"/>
    <w:rsid w:val="0088261D"/>
    <w:rsid w:val="008830AB"/>
    <w:rsid w:val="0088316D"/>
    <w:rsid w:val="008831CC"/>
    <w:rsid w:val="0088415B"/>
    <w:rsid w:val="00884FF4"/>
    <w:rsid w:val="00885062"/>
    <w:rsid w:val="008851D8"/>
    <w:rsid w:val="00885D9F"/>
    <w:rsid w:val="00886BBB"/>
    <w:rsid w:val="00886EDC"/>
    <w:rsid w:val="008871F5"/>
    <w:rsid w:val="00890E3A"/>
    <w:rsid w:val="00890F2F"/>
    <w:rsid w:val="008916F5"/>
    <w:rsid w:val="00891ADA"/>
    <w:rsid w:val="00891BA5"/>
    <w:rsid w:val="00893154"/>
    <w:rsid w:val="0089325A"/>
    <w:rsid w:val="00893E4F"/>
    <w:rsid w:val="00895011"/>
    <w:rsid w:val="00895C58"/>
    <w:rsid w:val="008960A4"/>
    <w:rsid w:val="008964FC"/>
    <w:rsid w:val="008979E3"/>
    <w:rsid w:val="00897BB1"/>
    <w:rsid w:val="008A0FB1"/>
    <w:rsid w:val="008A3109"/>
    <w:rsid w:val="008A41A3"/>
    <w:rsid w:val="008A4244"/>
    <w:rsid w:val="008A436D"/>
    <w:rsid w:val="008A4CB9"/>
    <w:rsid w:val="008A5B0C"/>
    <w:rsid w:val="008A5F16"/>
    <w:rsid w:val="008A7248"/>
    <w:rsid w:val="008A7A41"/>
    <w:rsid w:val="008A7E0F"/>
    <w:rsid w:val="008B014D"/>
    <w:rsid w:val="008B028B"/>
    <w:rsid w:val="008B02D6"/>
    <w:rsid w:val="008B0D50"/>
    <w:rsid w:val="008B13B8"/>
    <w:rsid w:val="008B196A"/>
    <w:rsid w:val="008B4EF5"/>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67"/>
    <w:rsid w:val="008C5BBC"/>
    <w:rsid w:val="008C5F03"/>
    <w:rsid w:val="008C6131"/>
    <w:rsid w:val="008C6C26"/>
    <w:rsid w:val="008C7695"/>
    <w:rsid w:val="008C7F77"/>
    <w:rsid w:val="008D0127"/>
    <w:rsid w:val="008D04FD"/>
    <w:rsid w:val="008D09E1"/>
    <w:rsid w:val="008D1693"/>
    <w:rsid w:val="008D3837"/>
    <w:rsid w:val="008D3A1F"/>
    <w:rsid w:val="008D3A9C"/>
    <w:rsid w:val="008D3BA1"/>
    <w:rsid w:val="008D45CC"/>
    <w:rsid w:val="008D4901"/>
    <w:rsid w:val="008D49AB"/>
    <w:rsid w:val="008D4E62"/>
    <w:rsid w:val="008D532B"/>
    <w:rsid w:val="008D5DA7"/>
    <w:rsid w:val="008D5E4E"/>
    <w:rsid w:val="008D6765"/>
    <w:rsid w:val="008E0C81"/>
    <w:rsid w:val="008E11CA"/>
    <w:rsid w:val="008E193F"/>
    <w:rsid w:val="008E31FF"/>
    <w:rsid w:val="008E345F"/>
    <w:rsid w:val="008E3785"/>
    <w:rsid w:val="008E37FA"/>
    <w:rsid w:val="008E4DA8"/>
    <w:rsid w:val="008E56B5"/>
    <w:rsid w:val="008E58B0"/>
    <w:rsid w:val="008E5FDC"/>
    <w:rsid w:val="008E7723"/>
    <w:rsid w:val="008E78C9"/>
    <w:rsid w:val="008F151C"/>
    <w:rsid w:val="008F3E41"/>
    <w:rsid w:val="008F5111"/>
    <w:rsid w:val="008F5426"/>
    <w:rsid w:val="008F5DD4"/>
    <w:rsid w:val="008F6B4B"/>
    <w:rsid w:val="008F6C81"/>
    <w:rsid w:val="008F72A8"/>
    <w:rsid w:val="008F7DF1"/>
    <w:rsid w:val="00900123"/>
    <w:rsid w:val="00901E67"/>
    <w:rsid w:val="0090223A"/>
    <w:rsid w:val="009022F8"/>
    <w:rsid w:val="00902326"/>
    <w:rsid w:val="00902476"/>
    <w:rsid w:val="0090273E"/>
    <w:rsid w:val="009049B1"/>
    <w:rsid w:val="009050C6"/>
    <w:rsid w:val="00905611"/>
    <w:rsid w:val="0090591E"/>
    <w:rsid w:val="00905A05"/>
    <w:rsid w:val="0090621C"/>
    <w:rsid w:val="0090679C"/>
    <w:rsid w:val="009115C7"/>
    <w:rsid w:val="00912E62"/>
    <w:rsid w:val="009136EB"/>
    <w:rsid w:val="00913920"/>
    <w:rsid w:val="00914753"/>
    <w:rsid w:val="00914845"/>
    <w:rsid w:val="00915024"/>
    <w:rsid w:val="0091532F"/>
    <w:rsid w:val="00915D31"/>
    <w:rsid w:val="00915D5C"/>
    <w:rsid w:val="00915F83"/>
    <w:rsid w:val="00917809"/>
    <w:rsid w:val="00917B26"/>
    <w:rsid w:val="00917D55"/>
    <w:rsid w:val="00917D70"/>
    <w:rsid w:val="00920C25"/>
    <w:rsid w:val="00921918"/>
    <w:rsid w:val="00922FE0"/>
    <w:rsid w:val="00923790"/>
    <w:rsid w:val="00924318"/>
    <w:rsid w:val="0092447F"/>
    <w:rsid w:val="00924973"/>
    <w:rsid w:val="009268CF"/>
    <w:rsid w:val="0092704D"/>
    <w:rsid w:val="0093083A"/>
    <w:rsid w:val="00930D41"/>
    <w:rsid w:val="00930F36"/>
    <w:rsid w:val="0093101B"/>
    <w:rsid w:val="00932AE8"/>
    <w:rsid w:val="00933B22"/>
    <w:rsid w:val="0093598C"/>
    <w:rsid w:val="00935A85"/>
    <w:rsid w:val="00935F93"/>
    <w:rsid w:val="009373ED"/>
    <w:rsid w:val="0093759A"/>
    <w:rsid w:val="00940EE0"/>
    <w:rsid w:val="009421B1"/>
    <w:rsid w:val="00942266"/>
    <w:rsid w:val="009426FC"/>
    <w:rsid w:val="009428C5"/>
    <w:rsid w:val="00942DFC"/>
    <w:rsid w:val="00943646"/>
    <w:rsid w:val="009444B9"/>
    <w:rsid w:val="00944686"/>
    <w:rsid w:val="00945414"/>
    <w:rsid w:val="00945639"/>
    <w:rsid w:val="00945D92"/>
    <w:rsid w:val="009465C7"/>
    <w:rsid w:val="009506EC"/>
    <w:rsid w:val="00950D21"/>
    <w:rsid w:val="00952457"/>
    <w:rsid w:val="00952836"/>
    <w:rsid w:val="009529DD"/>
    <w:rsid w:val="00952B47"/>
    <w:rsid w:val="009541D1"/>
    <w:rsid w:val="00955369"/>
    <w:rsid w:val="009553CC"/>
    <w:rsid w:val="00955608"/>
    <w:rsid w:val="00955DBB"/>
    <w:rsid w:val="00956584"/>
    <w:rsid w:val="0095666B"/>
    <w:rsid w:val="00957F15"/>
    <w:rsid w:val="00960493"/>
    <w:rsid w:val="009616AC"/>
    <w:rsid w:val="009618DB"/>
    <w:rsid w:val="009620A9"/>
    <w:rsid w:val="00962798"/>
    <w:rsid w:val="009628B3"/>
    <w:rsid w:val="0096482B"/>
    <w:rsid w:val="00964E25"/>
    <w:rsid w:val="009660A0"/>
    <w:rsid w:val="00966305"/>
    <w:rsid w:val="0096782B"/>
    <w:rsid w:val="00967CAA"/>
    <w:rsid w:val="00967CCC"/>
    <w:rsid w:val="009716A9"/>
    <w:rsid w:val="0097236F"/>
    <w:rsid w:val="00972872"/>
    <w:rsid w:val="0097287A"/>
    <w:rsid w:val="00974237"/>
    <w:rsid w:val="00974E91"/>
    <w:rsid w:val="009755FE"/>
    <w:rsid w:val="009757E3"/>
    <w:rsid w:val="00975FCE"/>
    <w:rsid w:val="009765D7"/>
    <w:rsid w:val="009768CC"/>
    <w:rsid w:val="00976B8E"/>
    <w:rsid w:val="00977022"/>
    <w:rsid w:val="0097707C"/>
    <w:rsid w:val="009804C7"/>
    <w:rsid w:val="00980818"/>
    <w:rsid w:val="00982397"/>
    <w:rsid w:val="0098278F"/>
    <w:rsid w:val="00983CCF"/>
    <w:rsid w:val="00983FF3"/>
    <w:rsid w:val="00984426"/>
    <w:rsid w:val="009847F4"/>
    <w:rsid w:val="00984CED"/>
    <w:rsid w:val="00984E78"/>
    <w:rsid w:val="00986DB0"/>
    <w:rsid w:val="0098763F"/>
    <w:rsid w:val="00990107"/>
    <w:rsid w:val="00990137"/>
    <w:rsid w:val="009908C4"/>
    <w:rsid w:val="009915B7"/>
    <w:rsid w:val="00991625"/>
    <w:rsid w:val="0099213A"/>
    <w:rsid w:val="00992B84"/>
    <w:rsid w:val="00993E76"/>
    <w:rsid w:val="009942A5"/>
    <w:rsid w:val="0099438E"/>
    <w:rsid w:val="00994C9D"/>
    <w:rsid w:val="00995353"/>
    <w:rsid w:val="0099562F"/>
    <w:rsid w:val="00996D65"/>
    <w:rsid w:val="009A0DC3"/>
    <w:rsid w:val="009A167A"/>
    <w:rsid w:val="009A1773"/>
    <w:rsid w:val="009A19ED"/>
    <w:rsid w:val="009A1E4D"/>
    <w:rsid w:val="009A2589"/>
    <w:rsid w:val="009A2C47"/>
    <w:rsid w:val="009A321F"/>
    <w:rsid w:val="009A38BD"/>
    <w:rsid w:val="009A39A3"/>
    <w:rsid w:val="009A3CD4"/>
    <w:rsid w:val="009A4357"/>
    <w:rsid w:val="009A4A49"/>
    <w:rsid w:val="009A5679"/>
    <w:rsid w:val="009A5810"/>
    <w:rsid w:val="009A5814"/>
    <w:rsid w:val="009A604C"/>
    <w:rsid w:val="009A7642"/>
    <w:rsid w:val="009B040B"/>
    <w:rsid w:val="009B0499"/>
    <w:rsid w:val="009B0B6F"/>
    <w:rsid w:val="009B0FF7"/>
    <w:rsid w:val="009B1A85"/>
    <w:rsid w:val="009B1E81"/>
    <w:rsid w:val="009B1F1E"/>
    <w:rsid w:val="009B1F67"/>
    <w:rsid w:val="009B224B"/>
    <w:rsid w:val="009B229D"/>
    <w:rsid w:val="009B3A41"/>
    <w:rsid w:val="009B3ED9"/>
    <w:rsid w:val="009B4B85"/>
    <w:rsid w:val="009B570F"/>
    <w:rsid w:val="009B5FF5"/>
    <w:rsid w:val="009B61C5"/>
    <w:rsid w:val="009C08FA"/>
    <w:rsid w:val="009C1FC5"/>
    <w:rsid w:val="009C2625"/>
    <w:rsid w:val="009C28BD"/>
    <w:rsid w:val="009C4C06"/>
    <w:rsid w:val="009C5458"/>
    <w:rsid w:val="009C595E"/>
    <w:rsid w:val="009C74BB"/>
    <w:rsid w:val="009D0DC4"/>
    <w:rsid w:val="009D0FE7"/>
    <w:rsid w:val="009D198C"/>
    <w:rsid w:val="009D22EE"/>
    <w:rsid w:val="009D317D"/>
    <w:rsid w:val="009D32BE"/>
    <w:rsid w:val="009D36AF"/>
    <w:rsid w:val="009D3975"/>
    <w:rsid w:val="009D463A"/>
    <w:rsid w:val="009D48C1"/>
    <w:rsid w:val="009D4F32"/>
    <w:rsid w:val="009D4F6D"/>
    <w:rsid w:val="009D54B5"/>
    <w:rsid w:val="009D780A"/>
    <w:rsid w:val="009E117D"/>
    <w:rsid w:val="009E1867"/>
    <w:rsid w:val="009E1CCC"/>
    <w:rsid w:val="009E2B1F"/>
    <w:rsid w:val="009E3CB9"/>
    <w:rsid w:val="009E3F70"/>
    <w:rsid w:val="009E4742"/>
    <w:rsid w:val="009E63F2"/>
    <w:rsid w:val="009E7160"/>
    <w:rsid w:val="009E71EC"/>
    <w:rsid w:val="009E72E8"/>
    <w:rsid w:val="009E79B4"/>
    <w:rsid w:val="009F03F5"/>
    <w:rsid w:val="009F0671"/>
    <w:rsid w:val="009F0B64"/>
    <w:rsid w:val="009F13AA"/>
    <w:rsid w:val="009F3608"/>
    <w:rsid w:val="009F36F4"/>
    <w:rsid w:val="009F375E"/>
    <w:rsid w:val="009F3E0E"/>
    <w:rsid w:val="009F5CA3"/>
    <w:rsid w:val="009F6EF2"/>
    <w:rsid w:val="00A00B66"/>
    <w:rsid w:val="00A010F5"/>
    <w:rsid w:val="00A01401"/>
    <w:rsid w:val="00A01DE2"/>
    <w:rsid w:val="00A022FA"/>
    <w:rsid w:val="00A026F5"/>
    <w:rsid w:val="00A02ADF"/>
    <w:rsid w:val="00A03246"/>
    <w:rsid w:val="00A04414"/>
    <w:rsid w:val="00A04D3A"/>
    <w:rsid w:val="00A0610F"/>
    <w:rsid w:val="00A07128"/>
    <w:rsid w:val="00A07C81"/>
    <w:rsid w:val="00A106AA"/>
    <w:rsid w:val="00A10A95"/>
    <w:rsid w:val="00A11165"/>
    <w:rsid w:val="00A1197E"/>
    <w:rsid w:val="00A1296D"/>
    <w:rsid w:val="00A132F8"/>
    <w:rsid w:val="00A13339"/>
    <w:rsid w:val="00A14A07"/>
    <w:rsid w:val="00A14EB9"/>
    <w:rsid w:val="00A14EEA"/>
    <w:rsid w:val="00A15880"/>
    <w:rsid w:val="00A16665"/>
    <w:rsid w:val="00A16D8C"/>
    <w:rsid w:val="00A17A3C"/>
    <w:rsid w:val="00A20D30"/>
    <w:rsid w:val="00A2226B"/>
    <w:rsid w:val="00A225E9"/>
    <w:rsid w:val="00A22A03"/>
    <w:rsid w:val="00A22F08"/>
    <w:rsid w:val="00A2309C"/>
    <w:rsid w:val="00A23BE7"/>
    <w:rsid w:val="00A24A00"/>
    <w:rsid w:val="00A24BDC"/>
    <w:rsid w:val="00A26361"/>
    <w:rsid w:val="00A2661B"/>
    <w:rsid w:val="00A26653"/>
    <w:rsid w:val="00A2748C"/>
    <w:rsid w:val="00A27986"/>
    <w:rsid w:val="00A27A21"/>
    <w:rsid w:val="00A30312"/>
    <w:rsid w:val="00A30403"/>
    <w:rsid w:val="00A3045B"/>
    <w:rsid w:val="00A31230"/>
    <w:rsid w:val="00A319D2"/>
    <w:rsid w:val="00A31B78"/>
    <w:rsid w:val="00A32571"/>
    <w:rsid w:val="00A32928"/>
    <w:rsid w:val="00A32BC3"/>
    <w:rsid w:val="00A33B53"/>
    <w:rsid w:val="00A34B70"/>
    <w:rsid w:val="00A35CE5"/>
    <w:rsid w:val="00A3675E"/>
    <w:rsid w:val="00A367CB"/>
    <w:rsid w:val="00A379D2"/>
    <w:rsid w:val="00A37E3F"/>
    <w:rsid w:val="00A42703"/>
    <w:rsid w:val="00A43451"/>
    <w:rsid w:val="00A45194"/>
    <w:rsid w:val="00A45684"/>
    <w:rsid w:val="00A45E65"/>
    <w:rsid w:val="00A46ED7"/>
    <w:rsid w:val="00A478C2"/>
    <w:rsid w:val="00A50583"/>
    <w:rsid w:val="00A516BD"/>
    <w:rsid w:val="00A5178E"/>
    <w:rsid w:val="00A525DF"/>
    <w:rsid w:val="00A53330"/>
    <w:rsid w:val="00A534D0"/>
    <w:rsid w:val="00A5365D"/>
    <w:rsid w:val="00A54965"/>
    <w:rsid w:val="00A55150"/>
    <w:rsid w:val="00A56CED"/>
    <w:rsid w:val="00A5743C"/>
    <w:rsid w:val="00A60780"/>
    <w:rsid w:val="00A60ADA"/>
    <w:rsid w:val="00A60F0E"/>
    <w:rsid w:val="00A6146C"/>
    <w:rsid w:val="00A6347F"/>
    <w:rsid w:val="00A63863"/>
    <w:rsid w:val="00A64B4D"/>
    <w:rsid w:val="00A66CFA"/>
    <w:rsid w:val="00A67203"/>
    <w:rsid w:val="00A6770C"/>
    <w:rsid w:val="00A67D3F"/>
    <w:rsid w:val="00A7036F"/>
    <w:rsid w:val="00A705D7"/>
    <w:rsid w:val="00A706AC"/>
    <w:rsid w:val="00A716BA"/>
    <w:rsid w:val="00A72325"/>
    <w:rsid w:val="00A72D60"/>
    <w:rsid w:val="00A75584"/>
    <w:rsid w:val="00A76679"/>
    <w:rsid w:val="00A76F71"/>
    <w:rsid w:val="00A77FFD"/>
    <w:rsid w:val="00A80264"/>
    <w:rsid w:val="00A8058B"/>
    <w:rsid w:val="00A8109A"/>
    <w:rsid w:val="00A817D8"/>
    <w:rsid w:val="00A81FD1"/>
    <w:rsid w:val="00A84162"/>
    <w:rsid w:val="00A841E5"/>
    <w:rsid w:val="00A860E1"/>
    <w:rsid w:val="00A8754B"/>
    <w:rsid w:val="00A877B7"/>
    <w:rsid w:val="00A87FFD"/>
    <w:rsid w:val="00A90112"/>
    <w:rsid w:val="00A91030"/>
    <w:rsid w:val="00A92D2F"/>
    <w:rsid w:val="00A92D71"/>
    <w:rsid w:val="00A95774"/>
    <w:rsid w:val="00A969BA"/>
    <w:rsid w:val="00A96A81"/>
    <w:rsid w:val="00A970EB"/>
    <w:rsid w:val="00AA05E1"/>
    <w:rsid w:val="00AA0C9D"/>
    <w:rsid w:val="00AA1152"/>
    <w:rsid w:val="00AA1C76"/>
    <w:rsid w:val="00AA1E98"/>
    <w:rsid w:val="00AA2401"/>
    <w:rsid w:val="00AA2A9E"/>
    <w:rsid w:val="00AA2AE0"/>
    <w:rsid w:val="00AA2FF9"/>
    <w:rsid w:val="00AA3E85"/>
    <w:rsid w:val="00AA4553"/>
    <w:rsid w:val="00AA4632"/>
    <w:rsid w:val="00AA4CF6"/>
    <w:rsid w:val="00AA4E59"/>
    <w:rsid w:val="00AA5FD7"/>
    <w:rsid w:val="00AA66CC"/>
    <w:rsid w:val="00AA6FEC"/>
    <w:rsid w:val="00AA753F"/>
    <w:rsid w:val="00AB06F3"/>
    <w:rsid w:val="00AB0923"/>
    <w:rsid w:val="00AB144E"/>
    <w:rsid w:val="00AB3DDA"/>
    <w:rsid w:val="00AB4A24"/>
    <w:rsid w:val="00AB5B89"/>
    <w:rsid w:val="00AB6030"/>
    <w:rsid w:val="00AB6A40"/>
    <w:rsid w:val="00AB6EBB"/>
    <w:rsid w:val="00AC0879"/>
    <w:rsid w:val="00AC11EB"/>
    <w:rsid w:val="00AC124A"/>
    <w:rsid w:val="00AC2346"/>
    <w:rsid w:val="00AC2415"/>
    <w:rsid w:val="00AC2A4C"/>
    <w:rsid w:val="00AC4AA7"/>
    <w:rsid w:val="00AC4B0C"/>
    <w:rsid w:val="00AC702E"/>
    <w:rsid w:val="00AD11FA"/>
    <w:rsid w:val="00AD178F"/>
    <w:rsid w:val="00AD257F"/>
    <w:rsid w:val="00AD3A7E"/>
    <w:rsid w:val="00AD4730"/>
    <w:rsid w:val="00AD5320"/>
    <w:rsid w:val="00AD57F9"/>
    <w:rsid w:val="00AD5FB8"/>
    <w:rsid w:val="00AD6157"/>
    <w:rsid w:val="00AD66B4"/>
    <w:rsid w:val="00AD75CD"/>
    <w:rsid w:val="00AE0A03"/>
    <w:rsid w:val="00AE0DC7"/>
    <w:rsid w:val="00AE3F89"/>
    <w:rsid w:val="00AE41DA"/>
    <w:rsid w:val="00AE520C"/>
    <w:rsid w:val="00AE59C6"/>
    <w:rsid w:val="00AE5B49"/>
    <w:rsid w:val="00AE5E4D"/>
    <w:rsid w:val="00AE70AC"/>
    <w:rsid w:val="00AF1FB8"/>
    <w:rsid w:val="00AF2C20"/>
    <w:rsid w:val="00AF31D3"/>
    <w:rsid w:val="00AF3648"/>
    <w:rsid w:val="00AF4056"/>
    <w:rsid w:val="00AF4ED1"/>
    <w:rsid w:val="00AF5453"/>
    <w:rsid w:val="00AF597B"/>
    <w:rsid w:val="00AF59FF"/>
    <w:rsid w:val="00AF6601"/>
    <w:rsid w:val="00AF6F4F"/>
    <w:rsid w:val="00AF7950"/>
    <w:rsid w:val="00AF7C40"/>
    <w:rsid w:val="00B00239"/>
    <w:rsid w:val="00B0081D"/>
    <w:rsid w:val="00B00837"/>
    <w:rsid w:val="00B00FF7"/>
    <w:rsid w:val="00B0142A"/>
    <w:rsid w:val="00B015CC"/>
    <w:rsid w:val="00B0204A"/>
    <w:rsid w:val="00B023B1"/>
    <w:rsid w:val="00B028CE"/>
    <w:rsid w:val="00B02AA5"/>
    <w:rsid w:val="00B03E6E"/>
    <w:rsid w:val="00B047DE"/>
    <w:rsid w:val="00B048E4"/>
    <w:rsid w:val="00B054DD"/>
    <w:rsid w:val="00B064C9"/>
    <w:rsid w:val="00B064FC"/>
    <w:rsid w:val="00B07118"/>
    <w:rsid w:val="00B07E2C"/>
    <w:rsid w:val="00B10344"/>
    <w:rsid w:val="00B10F03"/>
    <w:rsid w:val="00B11305"/>
    <w:rsid w:val="00B11FAA"/>
    <w:rsid w:val="00B1236F"/>
    <w:rsid w:val="00B12429"/>
    <w:rsid w:val="00B1243A"/>
    <w:rsid w:val="00B124B8"/>
    <w:rsid w:val="00B12E73"/>
    <w:rsid w:val="00B14001"/>
    <w:rsid w:val="00B14526"/>
    <w:rsid w:val="00B15618"/>
    <w:rsid w:val="00B15B5E"/>
    <w:rsid w:val="00B161B7"/>
    <w:rsid w:val="00B164D0"/>
    <w:rsid w:val="00B175BA"/>
    <w:rsid w:val="00B17CAB"/>
    <w:rsid w:val="00B17E29"/>
    <w:rsid w:val="00B20E1F"/>
    <w:rsid w:val="00B2232C"/>
    <w:rsid w:val="00B2246C"/>
    <w:rsid w:val="00B22616"/>
    <w:rsid w:val="00B23A2D"/>
    <w:rsid w:val="00B25CCC"/>
    <w:rsid w:val="00B26C97"/>
    <w:rsid w:val="00B26C9A"/>
    <w:rsid w:val="00B273DB"/>
    <w:rsid w:val="00B31952"/>
    <w:rsid w:val="00B32014"/>
    <w:rsid w:val="00B32624"/>
    <w:rsid w:val="00B326FA"/>
    <w:rsid w:val="00B33714"/>
    <w:rsid w:val="00B34F8F"/>
    <w:rsid w:val="00B351AD"/>
    <w:rsid w:val="00B35504"/>
    <w:rsid w:val="00B35776"/>
    <w:rsid w:val="00B360B5"/>
    <w:rsid w:val="00B3651D"/>
    <w:rsid w:val="00B37414"/>
    <w:rsid w:val="00B37992"/>
    <w:rsid w:val="00B408AA"/>
    <w:rsid w:val="00B41578"/>
    <w:rsid w:val="00B41F05"/>
    <w:rsid w:val="00B42242"/>
    <w:rsid w:val="00B42AA5"/>
    <w:rsid w:val="00B437D6"/>
    <w:rsid w:val="00B447FA"/>
    <w:rsid w:val="00B44DC8"/>
    <w:rsid w:val="00B452E4"/>
    <w:rsid w:val="00B46C1C"/>
    <w:rsid w:val="00B500FE"/>
    <w:rsid w:val="00B50828"/>
    <w:rsid w:val="00B50D5C"/>
    <w:rsid w:val="00B5159C"/>
    <w:rsid w:val="00B534E3"/>
    <w:rsid w:val="00B549E7"/>
    <w:rsid w:val="00B5550F"/>
    <w:rsid w:val="00B558FB"/>
    <w:rsid w:val="00B55E4F"/>
    <w:rsid w:val="00B56193"/>
    <w:rsid w:val="00B57043"/>
    <w:rsid w:val="00B60179"/>
    <w:rsid w:val="00B60271"/>
    <w:rsid w:val="00B60D11"/>
    <w:rsid w:val="00B610A7"/>
    <w:rsid w:val="00B61148"/>
    <w:rsid w:val="00B616B5"/>
    <w:rsid w:val="00B61944"/>
    <w:rsid w:val="00B621CF"/>
    <w:rsid w:val="00B625E1"/>
    <w:rsid w:val="00B63403"/>
    <w:rsid w:val="00B63B16"/>
    <w:rsid w:val="00B6425D"/>
    <w:rsid w:val="00B642D1"/>
    <w:rsid w:val="00B6474D"/>
    <w:rsid w:val="00B64C5C"/>
    <w:rsid w:val="00B6515D"/>
    <w:rsid w:val="00B65A30"/>
    <w:rsid w:val="00B65CED"/>
    <w:rsid w:val="00B65D27"/>
    <w:rsid w:val="00B65D4C"/>
    <w:rsid w:val="00B6715F"/>
    <w:rsid w:val="00B67ED4"/>
    <w:rsid w:val="00B67FA7"/>
    <w:rsid w:val="00B70043"/>
    <w:rsid w:val="00B70463"/>
    <w:rsid w:val="00B70875"/>
    <w:rsid w:val="00B70D60"/>
    <w:rsid w:val="00B711B4"/>
    <w:rsid w:val="00B711E1"/>
    <w:rsid w:val="00B71A3E"/>
    <w:rsid w:val="00B71CFA"/>
    <w:rsid w:val="00B7206D"/>
    <w:rsid w:val="00B726A6"/>
    <w:rsid w:val="00B7282F"/>
    <w:rsid w:val="00B73346"/>
    <w:rsid w:val="00B756AE"/>
    <w:rsid w:val="00B76400"/>
    <w:rsid w:val="00B77B19"/>
    <w:rsid w:val="00B8035A"/>
    <w:rsid w:val="00B80695"/>
    <w:rsid w:val="00B813C8"/>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832"/>
    <w:rsid w:val="00B90FDE"/>
    <w:rsid w:val="00B92690"/>
    <w:rsid w:val="00B9350E"/>
    <w:rsid w:val="00B93623"/>
    <w:rsid w:val="00B93778"/>
    <w:rsid w:val="00B950A1"/>
    <w:rsid w:val="00B95A01"/>
    <w:rsid w:val="00B95D17"/>
    <w:rsid w:val="00B95E81"/>
    <w:rsid w:val="00B96683"/>
    <w:rsid w:val="00B971FF"/>
    <w:rsid w:val="00B97EDA"/>
    <w:rsid w:val="00BA123E"/>
    <w:rsid w:val="00BA1EE5"/>
    <w:rsid w:val="00BA1F4F"/>
    <w:rsid w:val="00BA3630"/>
    <w:rsid w:val="00BA3AD0"/>
    <w:rsid w:val="00BA4048"/>
    <w:rsid w:val="00BA4063"/>
    <w:rsid w:val="00BA49D0"/>
    <w:rsid w:val="00BA4C2B"/>
    <w:rsid w:val="00BA4D3C"/>
    <w:rsid w:val="00BA50F4"/>
    <w:rsid w:val="00BA6A25"/>
    <w:rsid w:val="00BA73E2"/>
    <w:rsid w:val="00BA7726"/>
    <w:rsid w:val="00BA77B4"/>
    <w:rsid w:val="00BB027F"/>
    <w:rsid w:val="00BB0C18"/>
    <w:rsid w:val="00BB0D88"/>
    <w:rsid w:val="00BB10AF"/>
    <w:rsid w:val="00BB31DB"/>
    <w:rsid w:val="00BB39C4"/>
    <w:rsid w:val="00BB3B05"/>
    <w:rsid w:val="00BB4139"/>
    <w:rsid w:val="00BB5E23"/>
    <w:rsid w:val="00BB5E36"/>
    <w:rsid w:val="00BB6332"/>
    <w:rsid w:val="00BB682E"/>
    <w:rsid w:val="00BC136A"/>
    <w:rsid w:val="00BC3589"/>
    <w:rsid w:val="00BC4C0E"/>
    <w:rsid w:val="00BC5AD8"/>
    <w:rsid w:val="00BC6D96"/>
    <w:rsid w:val="00BD091A"/>
    <w:rsid w:val="00BD0989"/>
    <w:rsid w:val="00BD15E1"/>
    <w:rsid w:val="00BD162C"/>
    <w:rsid w:val="00BD2055"/>
    <w:rsid w:val="00BD25CB"/>
    <w:rsid w:val="00BD2680"/>
    <w:rsid w:val="00BD3874"/>
    <w:rsid w:val="00BD4017"/>
    <w:rsid w:val="00BD4CC6"/>
    <w:rsid w:val="00BD5044"/>
    <w:rsid w:val="00BD60E4"/>
    <w:rsid w:val="00BD6D10"/>
    <w:rsid w:val="00BD6DA9"/>
    <w:rsid w:val="00BD7894"/>
    <w:rsid w:val="00BD7D4D"/>
    <w:rsid w:val="00BD7F2D"/>
    <w:rsid w:val="00BE07CE"/>
    <w:rsid w:val="00BE0A85"/>
    <w:rsid w:val="00BE2BB9"/>
    <w:rsid w:val="00BE3256"/>
    <w:rsid w:val="00BE4372"/>
    <w:rsid w:val="00BE4E02"/>
    <w:rsid w:val="00BE57A3"/>
    <w:rsid w:val="00BE5CD3"/>
    <w:rsid w:val="00BE6BA8"/>
    <w:rsid w:val="00BF1235"/>
    <w:rsid w:val="00BF26C1"/>
    <w:rsid w:val="00BF3125"/>
    <w:rsid w:val="00BF3AF0"/>
    <w:rsid w:val="00BF3CA0"/>
    <w:rsid w:val="00BF3D4E"/>
    <w:rsid w:val="00BF3D5E"/>
    <w:rsid w:val="00BF4A03"/>
    <w:rsid w:val="00BF5000"/>
    <w:rsid w:val="00BF69FB"/>
    <w:rsid w:val="00BF6BFE"/>
    <w:rsid w:val="00C00B5E"/>
    <w:rsid w:val="00C00DBC"/>
    <w:rsid w:val="00C0168B"/>
    <w:rsid w:val="00C025DB"/>
    <w:rsid w:val="00C02A82"/>
    <w:rsid w:val="00C02E0D"/>
    <w:rsid w:val="00C032E7"/>
    <w:rsid w:val="00C041C0"/>
    <w:rsid w:val="00C04307"/>
    <w:rsid w:val="00C043BC"/>
    <w:rsid w:val="00C0446A"/>
    <w:rsid w:val="00C047B9"/>
    <w:rsid w:val="00C0487F"/>
    <w:rsid w:val="00C05696"/>
    <w:rsid w:val="00C056AC"/>
    <w:rsid w:val="00C05C1D"/>
    <w:rsid w:val="00C07031"/>
    <w:rsid w:val="00C07D44"/>
    <w:rsid w:val="00C10256"/>
    <w:rsid w:val="00C105EC"/>
    <w:rsid w:val="00C10680"/>
    <w:rsid w:val="00C10E15"/>
    <w:rsid w:val="00C1109F"/>
    <w:rsid w:val="00C11F91"/>
    <w:rsid w:val="00C1442D"/>
    <w:rsid w:val="00C17310"/>
    <w:rsid w:val="00C20866"/>
    <w:rsid w:val="00C21248"/>
    <w:rsid w:val="00C2144F"/>
    <w:rsid w:val="00C2150D"/>
    <w:rsid w:val="00C22B84"/>
    <w:rsid w:val="00C2495D"/>
    <w:rsid w:val="00C27320"/>
    <w:rsid w:val="00C305C6"/>
    <w:rsid w:val="00C31857"/>
    <w:rsid w:val="00C34060"/>
    <w:rsid w:val="00C34750"/>
    <w:rsid w:val="00C34CF9"/>
    <w:rsid w:val="00C36932"/>
    <w:rsid w:val="00C36B4A"/>
    <w:rsid w:val="00C36FC4"/>
    <w:rsid w:val="00C37480"/>
    <w:rsid w:val="00C40CF2"/>
    <w:rsid w:val="00C4153C"/>
    <w:rsid w:val="00C42B02"/>
    <w:rsid w:val="00C42C17"/>
    <w:rsid w:val="00C435F3"/>
    <w:rsid w:val="00C43AC8"/>
    <w:rsid w:val="00C44546"/>
    <w:rsid w:val="00C449ED"/>
    <w:rsid w:val="00C44CD3"/>
    <w:rsid w:val="00C46E8E"/>
    <w:rsid w:val="00C474A8"/>
    <w:rsid w:val="00C4794B"/>
    <w:rsid w:val="00C47ACE"/>
    <w:rsid w:val="00C47E2C"/>
    <w:rsid w:val="00C50761"/>
    <w:rsid w:val="00C50767"/>
    <w:rsid w:val="00C51406"/>
    <w:rsid w:val="00C51E63"/>
    <w:rsid w:val="00C53905"/>
    <w:rsid w:val="00C54C8A"/>
    <w:rsid w:val="00C55FFA"/>
    <w:rsid w:val="00C566A5"/>
    <w:rsid w:val="00C568D8"/>
    <w:rsid w:val="00C601A8"/>
    <w:rsid w:val="00C60244"/>
    <w:rsid w:val="00C611A2"/>
    <w:rsid w:val="00C612AC"/>
    <w:rsid w:val="00C616A6"/>
    <w:rsid w:val="00C6178E"/>
    <w:rsid w:val="00C62533"/>
    <w:rsid w:val="00C64222"/>
    <w:rsid w:val="00C6602E"/>
    <w:rsid w:val="00C66064"/>
    <w:rsid w:val="00C71F56"/>
    <w:rsid w:val="00C72FA9"/>
    <w:rsid w:val="00C7482C"/>
    <w:rsid w:val="00C75345"/>
    <w:rsid w:val="00C76721"/>
    <w:rsid w:val="00C80440"/>
    <w:rsid w:val="00C804B6"/>
    <w:rsid w:val="00C80DB4"/>
    <w:rsid w:val="00C812BD"/>
    <w:rsid w:val="00C817C9"/>
    <w:rsid w:val="00C81E11"/>
    <w:rsid w:val="00C83D55"/>
    <w:rsid w:val="00C846C6"/>
    <w:rsid w:val="00C849EF"/>
    <w:rsid w:val="00C8740E"/>
    <w:rsid w:val="00C901C2"/>
    <w:rsid w:val="00C9091D"/>
    <w:rsid w:val="00C90F26"/>
    <w:rsid w:val="00C91932"/>
    <w:rsid w:val="00C92D8E"/>
    <w:rsid w:val="00C93127"/>
    <w:rsid w:val="00C931EA"/>
    <w:rsid w:val="00C93DBD"/>
    <w:rsid w:val="00C9420F"/>
    <w:rsid w:val="00C94C39"/>
    <w:rsid w:val="00C96E1A"/>
    <w:rsid w:val="00C97DD1"/>
    <w:rsid w:val="00CA0D39"/>
    <w:rsid w:val="00CA0D53"/>
    <w:rsid w:val="00CA2E2D"/>
    <w:rsid w:val="00CA430F"/>
    <w:rsid w:val="00CA45B7"/>
    <w:rsid w:val="00CA4610"/>
    <w:rsid w:val="00CA4B27"/>
    <w:rsid w:val="00CA4C3C"/>
    <w:rsid w:val="00CA5805"/>
    <w:rsid w:val="00CA6500"/>
    <w:rsid w:val="00CA70DF"/>
    <w:rsid w:val="00CA7664"/>
    <w:rsid w:val="00CA7B10"/>
    <w:rsid w:val="00CB2155"/>
    <w:rsid w:val="00CB2336"/>
    <w:rsid w:val="00CB3267"/>
    <w:rsid w:val="00CB33D5"/>
    <w:rsid w:val="00CB4C60"/>
    <w:rsid w:val="00CB6585"/>
    <w:rsid w:val="00CB6B0C"/>
    <w:rsid w:val="00CB6BDA"/>
    <w:rsid w:val="00CC0026"/>
    <w:rsid w:val="00CC052D"/>
    <w:rsid w:val="00CC055C"/>
    <w:rsid w:val="00CC0753"/>
    <w:rsid w:val="00CC0AE3"/>
    <w:rsid w:val="00CC139F"/>
    <w:rsid w:val="00CC1897"/>
    <w:rsid w:val="00CC2017"/>
    <w:rsid w:val="00CC20E7"/>
    <w:rsid w:val="00CC308C"/>
    <w:rsid w:val="00CC45D0"/>
    <w:rsid w:val="00CC5336"/>
    <w:rsid w:val="00CC71F0"/>
    <w:rsid w:val="00CC7228"/>
    <w:rsid w:val="00CC76E5"/>
    <w:rsid w:val="00CC7F81"/>
    <w:rsid w:val="00CD00AE"/>
    <w:rsid w:val="00CD019F"/>
    <w:rsid w:val="00CD1952"/>
    <w:rsid w:val="00CD24BC"/>
    <w:rsid w:val="00CD2816"/>
    <w:rsid w:val="00CD287D"/>
    <w:rsid w:val="00CD28E5"/>
    <w:rsid w:val="00CD3C4B"/>
    <w:rsid w:val="00CD3DCE"/>
    <w:rsid w:val="00CD6F1F"/>
    <w:rsid w:val="00CE0C78"/>
    <w:rsid w:val="00CE1118"/>
    <w:rsid w:val="00CE1AFD"/>
    <w:rsid w:val="00CE2FF8"/>
    <w:rsid w:val="00CE326F"/>
    <w:rsid w:val="00CE402F"/>
    <w:rsid w:val="00CE4399"/>
    <w:rsid w:val="00CE53EB"/>
    <w:rsid w:val="00CE6152"/>
    <w:rsid w:val="00CE6ACD"/>
    <w:rsid w:val="00CE759A"/>
    <w:rsid w:val="00CF05F5"/>
    <w:rsid w:val="00CF086A"/>
    <w:rsid w:val="00CF13D6"/>
    <w:rsid w:val="00CF1459"/>
    <w:rsid w:val="00CF1540"/>
    <w:rsid w:val="00CF1BC3"/>
    <w:rsid w:val="00CF442E"/>
    <w:rsid w:val="00CF4C79"/>
    <w:rsid w:val="00CF57E9"/>
    <w:rsid w:val="00CF5C62"/>
    <w:rsid w:val="00CF61DA"/>
    <w:rsid w:val="00CF6343"/>
    <w:rsid w:val="00CF71CF"/>
    <w:rsid w:val="00CF77BD"/>
    <w:rsid w:val="00CF790B"/>
    <w:rsid w:val="00CF7C1D"/>
    <w:rsid w:val="00CF7D71"/>
    <w:rsid w:val="00D01D80"/>
    <w:rsid w:val="00D023F4"/>
    <w:rsid w:val="00D037BA"/>
    <w:rsid w:val="00D03AEC"/>
    <w:rsid w:val="00D03AFE"/>
    <w:rsid w:val="00D042D7"/>
    <w:rsid w:val="00D04C9D"/>
    <w:rsid w:val="00D0526D"/>
    <w:rsid w:val="00D05E0D"/>
    <w:rsid w:val="00D0645A"/>
    <w:rsid w:val="00D07437"/>
    <w:rsid w:val="00D07876"/>
    <w:rsid w:val="00D11748"/>
    <w:rsid w:val="00D11BC6"/>
    <w:rsid w:val="00D13C81"/>
    <w:rsid w:val="00D149EC"/>
    <w:rsid w:val="00D14FAE"/>
    <w:rsid w:val="00D14FC8"/>
    <w:rsid w:val="00D1672B"/>
    <w:rsid w:val="00D1672E"/>
    <w:rsid w:val="00D16771"/>
    <w:rsid w:val="00D17D23"/>
    <w:rsid w:val="00D20EAF"/>
    <w:rsid w:val="00D22780"/>
    <w:rsid w:val="00D22A05"/>
    <w:rsid w:val="00D2370A"/>
    <w:rsid w:val="00D2416A"/>
    <w:rsid w:val="00D25C02"/>
    <w:rsid w:val="00D30BB8"/>
    <w:rsid w:val="00D316FC"/>
    <w:rsid w:val="00D31C71"/>
    <w:rsid w:val="00D334C1"/>
    <w:rsid w:val="00D33D15"/>
    <w:rsid w:val="00D33F0F"/>
    <w:rsid w:val="00D34A49"/>
    <w:rsid w:val="00D34E15"/>
    <w:rsid w:val="00D357F7"/>
    <w:rsid w:val="00D360E3"/>
    <w:rsid w:val="00D36C5C"/>
    <w:rsid w:val="00D36E02"/>
    <w:rsid w:val="00D37C9B"/>
    <w:rsid w:val="00D37D64"/>
    <w:rsid w:val="00D4042C"/>
    <w:rsid w:val="00D40F68"/>
    <w:rsid w:val="00D41E84"/>
    <w:rsid w:val="00D41EDB"/>
    <w:rsid w:val="00D42240"/>
    <w:rsid w:val="00D427B7"/>
    <w:rsid w:val="00D42B6F"/>
    <w:rsid w:val="00D42D22"/>
    <w:rsid w:val="00D450C1"/>
    <w:rsid w:val="00D45F73"/>
    <w:rsid w:val="00D4706F"/>
    <w:rsid w:val="00D47412"/>
    <w:rsid w:val="00D4751D"/>
    <w:rsid w:val="00D47BCD"/>
    <w:rsid w:val="00D50AAC"/>
    <w:rsid w:val="00D50BF9"/>
    <w:rsid w:val="00D50EEC"/>
    <w:rsid w:val="00D51BEE"/>
    <w:rsid w:val="00D52490"/>
    <w:rsid w:val="00D52C97"/>
    <w:rsid w:val="00D5398C"/>
    <w:rsid w:val="00D54265"/>
    <w:rsid w:val="00D54266"/>
    <w:rsid w:val="00D54CA7"/>
    <w:rsid w:val="00D55484"/>
    <w:rsid w:val="00D55815"/>
    <w:rsid w:val="00D56160"/>
    <w:rsid w:val="00D568B9"/>
    <w:rsid w:val="00D5783D"/>
    <w:rsid w:val="00D57B0B"/>
    <w:rsid w:val="00D6018E"/>
    <w:rsid w:val="00D609E8"/>
    <w:rsid w:val="00D6169E"/>
    <w:rsid w:val="00D617D2"/>
    <w:rsid w:val="00D61B6A"/>
    <w:rsid w:val="00D61BBC"/>
    <w:rsid w:val="00D621DB"/>
    <w:rsid w:val="00D64057"/>
    <w:rsid w:val="00D641E4"/>
    <w:rsid w:val="00D64D26"/>
    <w:rsid w:val="00D65B85"/>
    <w:rsid w:val="00D66DC6"/>
    <w:rsid w:val="00D70176"/>
    <w:rsid w:val="00D705F5"/>
    <w:rsid w:val="00D70916"/>
    <w:rsid w:val="00D70DFB"/>
    <w:rsid w:val="00D7311A"/>
    <w:rsid w:val="00D74023"/>
    <w:rsid w:val="00D74025"/>
    <w:rsid w:val="00D743D2"/>
    <w:rsid w:val="00D76085"/>
    <w:rsid w:val="00D7702B"/>
    <w:rsid w:val="00D80552"/>
    <w:rsid w:val="00D81FBF"/>
    <w:rsid w:val="00D827A5"/>
    <w:rsid w:val="00D829A3"/>
    <w:rsid w:val="00D83B5E"/>
    <w:rsid w:val="00D840D8"/>
    <w:rsid w:val="00D843D5"/>
    <w:rsid w:val="00D84F24"/>
    <w:rsid w:val="00D84F56"/>
    <w:rsid w:val="00D84FA2"/>
    <w:rsid w:val="00D851E4"/>
    <w:rsid w:val="00D85C2F"/>
    <w:rsid w:val="00D87258"/>
    <w:rsid w:val="00D873C7"/>
    <w:rsid w:val="00D87E9B"/>
    <w:rsid w:val="00D91173"/>
    <w:rsid w:val="00D9144F"/>
    <w:rsid w:val="00D91683"/>
    <w:rsid w:val="00D91A37"/>
    <w:rsid w:val="00D91EC4"/>
    <w:rsid w:val="00D91FAE"/>
    <w:rsid w:val="00D91FD0"/>
    <w:rsid w:val="00D92C13"/>
    <w:rsid w:val="00D94664"/>
    <w:rsid w:val="00D94E2B"/>
    <w:rsid w:val="00D94E65"/>
    <w:rsid w:val="00D95705"/>
    <w:rsid w:val="00D971B9"/>
    <w:rsid w:val="00DA021C"/>
    <w:rsid w:val="00DA09D4"/>
    <w:rsid w:val="00DA0E65"/>
    <w:rsid w:val="00DA0ED9"/>
    <w:rsid w:val="00DA15D4"/>
    <w:rsid w:val="00DA1753"/>
    <w:rsid w:val="00DA22DA"/>
    <w:rsid w:val="00DA246A"/>
    <w:rsid w:val="00DA2646"/>
    <w:rsid w:val="00DA3858"/>
    <w:rsid w:val="00DA3AF4"/>
    <w:rsid w:val="00DA3F29"/>
    <w:rsid w:val="00DA4EF0"/>
    <w:rsid w:val="00DA5609"/>
    <w:rsid w:val="00DA5D9C"/>
    <w:rsid w:val="00DA6736"/>
    <w:rsid w:val="00DA6770"/>
    <w:rsid w:val="00DA6C63"/>
    <w:rsid w:val="00DA7045"/>
    <w:rsid w:val="00DA7874"/>
    <w:rsid w:val="00DB047E"/>
    <w:rsid w:val="00DB050A"/>
    <w:rsid w:val="00DB0D8D"/>
    <w:rsid w:val="00DB2353"/>
    <w:rsid w:val="00DB45E8"/>
    <w:rsid w:val="00DB4969"/>
    <w:rsid w:val="00DB59FC"/>
    <w:rsid w:val="00DB5D29"/>
    <w:rsid w:val="00DB60C6"/>
    <w:rsid w:val="00DB612F"/>
    <w:rsid w:val="00DB61BC"/>
    <w:rsid w:val="00DB68D9"/>
    <w:rsid w:val="00DB6905"/>
    <w:rsid w:val="00DB6F93"/>
    <w:rsid w:val="00DC0446"/>
    <w:rsid w:val="00DC0FC0"/>
    <w:rsid w:val="00DC1607"/>
    <w:rsid w:val="00DC24BC"/>
    <w:rsid w:val="00DC28A3"/>
    <w:rsid w:val="00DC292B"/>
    <w:rsid w:val="00DC2C11"/>
    <w:rsid w:val="00DC467F"/>
    <w:rsid w:val="00DC5788"/>
    <w:rsid w:val="00DC5CCB"/>
    <w:rsid w:val="00DC61E7"/>
    <w:rsid w:val="00DC7400"/>
    <w:rsid w:val="00DC7E43"/>
    <w:rsid w:val="00DC7F54"/>
    <w:rsid w:val="00DD0879"/>
    <w:rsid w:val="00DD0A86"/>
    <w:rsid w:val="00DD1695"/>
    <w:rsid w:val="00DD205D"/>
    <w:rsid w:val="00DD22E8"/>
    <w:rsid w:val="00DD452B"/>
    <w:rsid w:val="00DD4998"/>
    <w:rsid w:val="00DD5858"/>
    <w:rsid w:val="00DD6553"/>
    <w:rsid w:val="00DD76F9"/>
    <w:rsid w:val="00DD7F8A"/>
    <w:rsid w:val="00DE10F8"/>
    <w:rsid w:val="00DE315F"/>
    <w:rsid w:val="00DE36B4"/>
    <w:rsid w:val="00DE4475"/>
    <w:rsid w:val="00DE530B"/>
    <w:rsid w:val="00DE5CDE"/>
    <w:rsid w:val="00DF10C3"/>
    <w:rsid w:val="00DF1761"/>
    <w:rsid w:val="00DF315C"/>
    <w:rsid w:val="00DF33C6"/>
    <w:rsid w:val="00DF33EC"/>
    <w:rsid w:val="00DF3BAC"/>
    <w:rsid w:val="00DF3F98"/>
    <w:rsid w:val="00DF4359"/>
    <w:rsid w:val="00DF69DF"/>
    <w:rsid w:val="00E00054"/>
    <w:rsid w:val="00E00688"/>
    <w:rsid w:val="00E00B01"/>
    <w:rsid w:val="00E00DB6"/>
    <w:rsid w:val="00E016DE"/>
    <w:rsid w:val="00E0273D"/>
    <w:rsid w:val="00E028DA"/>
    <w:rsid w:val="00E02CA0"/>
    <w:rsid w:val="00E02F78"/>
    <w:rsid w:val="00E03288"/>
    <w:rsid w:val="00E039DB"/>
    <w:rsid w:val="00E045AD"/>
    <w:rsid w:val="00E04BA5"/>
    <w:rsid w:val="00E04D8D"/>
    <w:rsid w:val="00E04F59"/>
    <w:rsid w:val="00E05721"/>
    <w:rsid w:val="00E0668A"/>
    <w:rsid w:val="00E07254"/>
    <w:rsid w:val="00E07D1C"/>
    <w:rsid w:val="00E1046A"/>
    <w:rsid w:val="00E11F13"/>
    <w:rsid w:val="00E128AA"/>
    <w:rsid w:val="00E12A69"/>
    <w:rsid w:val="00E12D55"/>
    <w:rsid w:val="00E12F8B"/>
    <w:rsid w:val="00E136C9"/>
    <w:rsid w:val="00E16594"/>
    <w:rsid w:val="00E16672"/>
    <w:rsid w:val="00E201DD"/>
    <w:rsid w:val="00E207E6"/>
    <w:rsid w:val="00E208EA"/>
    <w:rsid w:val="00E2105D"/>
    <w:rsid w:val="00E21269"/>
    <w:rsid w:val="00E219E7"/>
    <w:rsid w:val="00E2224C"/>
    <w:rsid w:val="00E228C4"/>
    <w:rsid w:val="00E22C15"/>
    <w:rsid w:val="00E2381A"/>
    <w:rsid w:val="00E245F7"/>
    <w:rsid w:val="00E250F9"/>
    <w:rsid w:val="00E25178"/>
    <w:rsid w:val="00E255E8"/>
    <w:rsid w:val="00E25BAE"/>
    <w:rsid w:val="00E27CDE"/>
    <w:rsid w:val="00E30A8A"/>
    <w:rsid w:val="00E313A1"/>
    <w:rsid w:val="00E314B0"/>
    <w:rsid w:val="00E31832"/>
    <w:rsid w:val="00E3298D"/>
    <w:rsid w:val="00E32BD7"/>
    <w:rsid w:val="00E32D13"/>
    <w:rsid w:val="00E32E6C"/>
    <w:rsid w:val="00E32FF6"/>
    <w:rsid w:val="00E34836"/>
    <w:rsid w:val="00E34BE4"/>
    <w:rsid w:val="00E3586F"/>
    <w:rsid w:val="00E35971"/>
    <w:rsid w:val="00E36410"/>
    <w:rsid w:val="00E36FAA"/>
    <w:rsid w:val="00E37B5F"/>
    <w:rsid w:val="00E40405"/>
    <w:rsid w:val="00E40434"/>
    <w:rsid w:val="00E4050D"/>
    <w:rsid w:val="00E41450"/>
    <w:rsid w:val="00E42804"/>
    <w:rsid w:val="00E42BBE"/>
    <w:rsid w:val="00E43558"/>
    <w:rsid w:val="00E437A4"/>
    <w:rsid w:val="00E44369"/>
    <w:rsid w:val="00E44663"/>
    <w:rsid w:val="00E44936"/>
    <w:rsid w:val="00E44A5B"/>
    <w:rsid w:val="00E46F23"/>
    <w:rsid w:val="00E47F76"/>
    <w:rsid w:val="00E50477"/>
    <w:rsid w:val="00E50E30"/>
    <w:rsid w:val="00E52CB0"/>
    <w:rsid w:val="00E5322C"/>
    <w:rsid w:val="00E5428F"/>
    <w:rsid w:val="00E54EC8"/>
    <w:rsid w:val="00E55112"/>
    <w:rsid w:val="00E5615E"/>
    <w:rsid w:val="00E56167"/>
    <w:rsid w:val="00E563FC"/>
    <w:rsid w:val="00E56909"/>
    <w:rsid w:val="00E60007"/>
    <w:rsid w:val="00E614B3"/>
    <w:rsid w:val="00E6182C"/>
    <w:rsid w:val="00E62D74"/>
    <w:rsid w:val="00E6515A"/>
    <w:rsid w:val="00E65FB5"/>
    <w:rsid w:val="00E660E8"/>
    <w:rsid w:val="00E661AA"/>
    <w:rsid w:val="00E66913"/>
    <w:rsid w:val="00E66B80"/>
    <w:rsid w:val="00E66EA5"/>
    <w:rsid w:val="00E67CAB"/>
    <w:rsid w:val="00E70DCB"/>
    <w:rsid w:val="00E70E45"/>
    <w:rsid w:val="00E716C2"/>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5C70"/>
    <w:rsid w:val="00E8687A"/>
    <w:rsid w:val="00E87312"/>
    <w:rsid w:val="00E87CE8"/>
    <w:rsid w:val="00E90601"/>
    <w:rsid w:val="00E90999"/>
    <w:rsid w:val="00E90CE6"/>
    <w:rsid w:val="00E912A6"/>
    <w:rsid w:val="00E924ED"/>
    <w:rsid w:val="00E9257F"/>
    <w:rsid w:val="00E92C46"/>
    <w:rsid w:val="00E93AD8"/>
    <w:rsid w:val="00E96498"/>
    <w:rsid w:val="00E968AA"/>
    <w:rsid w:val="00E96F01"/>
    <w:rsid w:val="00E97507"/>
    <w:rsid w:val="00EA01CD"/>
    <w:rsid w:val="00EA136B"/>
    <w:rsid w:val="00EA17DA"/>
    <w:rsid w:val="00EA2249"/>
    <w:rsid w:val="00EA28E5"/>
    <w:rsid w:val="00EA2E4F"/>
    <w:rsid w:val="00EA3BF1"/>
    <w:rsid w:val="00EA3F5C"/>
    <w:rsid w:val="00EA44ED"/>
    <w:rsid w:val="00EA5596"/>
    <w:rsid w:val="00EA7145"/>
    <w:rsid w:val="00EA7500"/>
    <w:rsid w:val="00EA77E3"/>
    <w:rsid w:val="00EB09D5"/>
    <w:rsid w:val="00EB1A45"/>
    <w:rsid w:val="00EB1DA4"/>
    <w:rsid w:val="00EB2610"/>
    <w:rsid w:val="00EB39EE"/>
    <w:rsid w:val="00EB3EB2"/>
    <w:rsid w:val="00EB4318"/>
    <w:rsid w:val="00EB54E5"/>
    <w:rsid w:val="00EB5744"/>
    <w:rsid w:val="00EB585F"/>
    <w:rsid w:val="00EB6BBD"/>
    <w:rsid w:val="00EB7A2D"/>
    <w:rsid w:val="00EC03B7"/>
    <w:rsid w:val="00EC06F2"/>
    <w:rsid w:val="00EC076F"/>
    <w:rsid w:val="00EC08DF"/>
    <w:rsid w:val="00EC129F"/>
    <w:rsid w:val="00EC2ED6"/>
    <w:rsid w:val="00EC3E8B"/>
    <w:rsid w:val="00EC41B2"/>
    <w:rsid w:val="00EC4342"/>
    <w:rsid w:val="00EC4CBA"/>
    <w:rsid w:val="00EC5EA1"/>
    <w:rsid w:val="00EC63BE"/>
    <w:rsid w:val="00EC6706"/>
    <w:rsid w:val="00EC6936"/>
    <w:rsid w:val="00EC77F2"/>
    <w:rsid w:val="00EC7B97"/>
    <w:rsid w:val="00ED0C42"/>
    <w:rsid w:val="00ED0F7B"/>
    <w:rsid w:val="00ED1367"/>
    <w:rsid w:val="00ED21B0"/>
    <w:rsid w:val="00ED2776"/>
    <w:rsid w:val="00ED2D03"/>
    <w:rsid w:val="00ED2DA6"/>
    <w:rsid w:val="00ED34B9"/>
    <w:rsid w:val="00ED3A3F"/>
    <w:rsid w:val="00ED3CA3"/>
    <w:rsid w:val="00ED40A1"/>
    <w:rsid w:val="00ED44E1"/>
    <w:rsid w:val="00ED45C2"/>
    <w:rsid w:val="00ED5421"/>
    <w:rsid w:val="00ED5F4D"/>
    <w:rsid w:val="00ED6E03"/>
    <w:rsid w:val="00ED743D"/>
    <w:rsid w:val="00ED7468"/>
    <w:rsid w:val="00EE1AAD"/>
    <w:rsid w:val="00EE1E36"/>
    <w:rsid w:val="00EE23E3"/>
    <w:rsid w:val="00EE24C0"/>
    <w:rsid w:val="00EE2CCF"/>
    <w:rsid w:val="00EE354E"/>
    <w:rsid w:val="00EE5405"/>
    <w:rsid w:val="00EE6F9A"/>
    <w:rsid w:val="00EF04ED"/>
    <w:rsid w:val="00EF2FF4"/>
    <w:rsid w:val="00EF3D75"/>
    <w:rsid w:val="00EF3EE9"/>
    <w:rsid w:val="00EF43FD"/>
    <w:rsid w:val="00EF4BD9"/>
    <w:rsid w:val="00EF677E"/>
    <w:rsid w:val="00F0080E"/>
    <w:rsid w:val="00F010D8"/>
    <w:rsid w:val="00F038E5"/>
    <w:rsid w:val="00F03CC1"/>
    <w:rsid w:val="00F03FA4"/>
    <w:rsid w:val="00F0491E"/>
    <w:rsid w:val="00F07236"/>
    <w:rsid w:val="00F079C4"/>
    <w:rsid w:val="00F114D7"/>
    <w:rsid w:val="00F1269D"/>
    <w:rsid w:val="00F126C4"/>
    <w:rsid w:val="00F149FB"/>
    <w:rsid w:val="00F14C31"/>
    <w:rsid w:val="00F152EF"/>
    <w:rsid w:val="00F15868"/>
    <w:rsid w:val="00F16338"/>
    <w:rsid w:val="00F164D6"/>
    <w:rsid w:val="00F16D1C"/>
    <w:rsid w:val="00F209BF"/>
    <w:rsid w:val="00F211C3"/>
    <w:rsid w:val="00F21504"/>
    <w:rsid w:val="00F215F3"/>
    <w:rsid w:val="00F2192E"/>
    <w:rsid w:val="00F219AF"/>
    <w:rsid w:val="00F21D0F"/>
    <w:rsid w:val="00F21E67"/>
    <w:rsid w:val="00F21E6C"/>
    <w:rsid w:val="00F228C3"/>
    <w:rsid w:val="00F234A8"/>
    <w:rsid w:val="00F23C99"/>
    <w:rsid w:val="00F23D30"/>
    <w:rsid w:val="00F25780"/>
    <w:rsid w:val="00F279F8"/>
    <w:rsid w:val="00F307AA"/>
    <w:rsid w:val="00F30C4B"/>
    <w:rsid w:val="00F31558"/>
    <w:rsid w:val="00F3180C"/>
    <w:rsid w:val="00F3180E"/>
    <w:rsid w:val="00F31C37"/>
    <w:rsid w:val="00F32B58"/>
    <w:rsid w:val="00F339D1"/>
    <w:rsid w:val="00F34F2E"/>
    <w:rsid w:val="00F36B18"/>
    <w:rsid w:val="00F36F17"/>
    <w:rsid w:val="00F37315"/>
    <w:rsid w:val="00F40384"/>
    <w:rsid w:val="00F4086F"/>
    <w:rsid w:val="00F41292"/>
    <w:rsid w:val="00F41E2B"/>
    <w:rsid w:val="00F41FFE"/>
    <w:rsid w:val="00F423D9"/>
    <w:rsid w:val="00F42ABE"/>
    <w:rsid w:val="00F44D4F"/>
    <w:rsid w:val="00F44FA7"/>
    <w:rsid w:val="00F45729"/>
    <w:rsid w:val="00F472D1"/>
    <w:rsid w:val="00F476D2"/>
    <w:rsid w:val="00F4789F"/>
    <w:rsid w:val="00F50DD0"/>
    <w:rsid w:val="00F510CE"/>
    <w:rsid w:val="00F519AF"/>
    <w:rsid w:val="00F51DE9"/>
    <w:rsid w:val="00F525DF"/>
    <w:rsid w:val="00F53DEE"/>
    <w:rsid w:val="00F54ADF"/>
    <w:rsid w:val="00F551CE"/>
    <w:rsid w:val="00F55B77"/>
    <w:rsid w:val="00F5609C"/>
    <w:rsid w:val="00F566F9"/>
    <w:rsid w:val="00F5750B"/>
    <w:rsid w:val="00F613EB"/>
    <w:rsid w:val="00F617B6"/>
    <w:rsid w:val="00F620A3"/>
    <w:rsid w:val="00F63965"/>
    <w:rsid w:val="00F64DBE"/>
    <w:rsid w:val="00F652E1"/>
    <w:rsid w:val="00F65CC9"/>
    <w:rsid w:val="00F664B2"/>
    <w:rsid w:val="00F67D3C"/>
    <w:rsid w:val="00F704B9"/>
    <w:rsid w:val="00F7164A"/>
    <w:rsid w:val="00F71971"/>
    <w:rsid w:val="00F73108"/>
    <w:rsid w:val="00F731B8"/>
    <w:rsid w:val="00F733AC"/>
    <w:rsid w:val="00F74436"/>
    <w:rsid w:val="00F74B22"/>
    <w:rsid w:val="00F75BF3"/>
    <w:rsid w:val="00F76454"/>
    <w:rsid w:val="00F76B20"/>
    <w:rsid w:val="00F7746D"/>
    <w:rsid w:val="00F77EFB"/>
    <w:rsid w:val="00F80152"/>
    <w:rsid w:val="00F80FB7"/>
    <w:rsid w:val="00F81ABB"/>
    <w:rsid w:val="00F82E94"/>
    <w:rsid w:val="00F84101"/>
    <w:rsid w:val="00F84AF0"/>
    <w:rsid w:val="00F84D38"/>
    <w:rsid w:val="00F84D6F"/>
    <w:rsid w:val="00F852A9"/>
    <w:rsid w:val="00F8578F"/>
    <w:rsid w:val="00F87C15"/>
    <w:rsid w:val="00F87F7D"/>
    <w:rsid w:val="00F9054B"/>
    <w:rsid w:val="00F90F4D"/>
    <w:rsid w:val="00F91BBD"/>
    <w:rsid w:val="00F91FBB"/>
    <w:rsid w:val="00F93E60"/>
    <w:rsid w:val="00F941ED"/>
    <w:rsid w:val="00F94545"/>
    <w:rsid w:val="00F94776"/>
    <w:rsid w:val="00F94C4D"/>
    <w:rsid w:val="00F951B6"/>
    <w:rsid w:val="00F9556A"/>
    <w:rsid w:val="00F955D5"/>
    <w:rsid w:val="00F95AA2"/>
    <w:rsid w:val="00F97727"/>
    <w:rsid w:val="00F97EE9"/>
    <w:rsid w:val="00FA0FC0"/>
    <w:rsid w:val="00FA1FDC"/>
    <w:rsid w:val="00FA23AF"/>
    <w:rsid w:val="00FA2D1A"/>
    <w:rsid w:val="00FA2E85"/>
    <w:rsid w:val="00FA2F91"/>
    <w:rsid w:val="00FA3763"/>
    <w:rsid w:val="00FA3CFC"/>
    <w:rsid w:val="00FA3D50"/>
    <w:rsid w:val="00FA3D71"/>
    <w:rsid w:val="00FA3DAD"/>
    <w:rsid w:val="00FA4A6C"/>
    <w:rsid w:val="00FA5306"/>
    <w:rsid w:val="00FA53E1"/>
    <w:rsid w:val="00FA56BB"/>
    <w:rsid w:val="00FA6FC1"/>
    <w:rsid w:val="00FA734D"/>
    <w:rsid w:val="00FA7D13"/>
    <w:rsid w:val="00FB0A03"/>
    <w:rsid w:val="00FB0AA9"/>
    <w:rsid w:val="00FB0FA0"/>
    <w:rsid w:val="00FB16BB"/>
    <w:rsid w:val="00FB194E"/>
    <w:rsid w:val="00FB1984"/>
    <w:rsid w:val="00FB2109"/>
    <w:rsid w:val="00FB2C70"/>
    <w:rsid w:val="00FB3223"/>
    <w:rsid w:val="00FB41B3"/>
    <w:rsid w:val="00FB5851"/>
    <w:rsid w:val="00FB6114"/>
    <w:rsid w:val="00FB7148"/>
    <w:rsid w:val="00FC056D"/>
    <w:rsid w:val="00FC105E"/>
    <w:rsid w:val="00FC1999"/>
    <w:rsid w:val="00FC37C2"/>
    <w:rsid w:val="00FC3A3F"/>
    <w:rsid w:val="00FC3B87"/>
    <w:rsid w:val="00FC3BE7"/>
    <w:rsid w:val="00FC3C88"/>
    <w:rsid w:val="00FC44FC"/>
    <w:rsid w:val="00FC4BB2"/>
    <w:rsid w:val="00FC4CA7"/>
    <w:rsid w:val="00FC6137"/>
    <w:rsid w:val="00FC63ED"/>
    <w:rsid w:val="00FC681A"/>
    <w:rsid w:val="00FC6AAE"/>
    <w:rsid w:val="00FD07F8"/>
    <w:rsid w:val="00FD1394"/>
    <w:rsid w:val="00FD3890"/>
    <w:rsid w:val="00FD4077"/>
    <w:rsid w:val="00FD4103"/>
    <w:rsid w:val="00FD4240"/>
    <w:rsid w:val="00FD48F2"/>
    <w:rsid w:val="00FD49F3"/>
    <w:rsid w:val="00FD511E"/>
    <w:rsid w:val="00FD5721"/>
    <w:rsid w:val="00FD5F80"/>
    <w:rsid w:val="00FD6FC9"/>
    <w:rsid w:val="00FD7E67"/>
    <w:rsid w:val="00FE08D3"/>
    <w:rsid w:val="00FE0C49"/>
    <w:rsid w:val="00FE0E0C"/>
    <w:rsid w:val="00FE0E5A"/>
    <w:rsid w:val="00FE0F39"/>
    <w:rsid w:val="00FE1329"/>
    <w:rsid w:val="00FE1E71"/>
    <w:rsid w:val="00FE4224"/>
    <w:rsid w:val="00FE4B41"/>
    <w:rsid w:val="00FE547F"/>
    <w:rsid w:val="00FE684C"/>
    <w:rsid w:val="00FE7366"/>
    <w:rsid w:val="00FE77D0"/>
    <w:rsid w:val="00FF0116"/>
    <w:rsid w:val="00FF1604"/>
    <w:rsid w:val="00FF1A66"/>
    <w:rsid w:val="00FF2D66"/>
    <w:rsid w:val="00FF3625"/>
    <w:rsid w:val="00FF3E00"/>
    <w:rsid w:val="00FF54CE"/>
    <w:rsid w:val="00FF64DE"/>
    <w:rsid w:val="00FF74DE"/>
    <w:rsid w:val="00FF7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BDC401C6-BB06-43FD-AD22-DD605C14A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Title,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H6"/>
    <w:next w:val="a"/>
    <w:link w:val="6Char"/>
    <w:qFormat/>
    <w:rsid w:val="003055FD"/>
    <w:pPr>
      <w:numPr>
        <w:ilvl w:val="0"/>
      </w:numPr>
      <w:ind w:left="1152" w:hanging="1152"/>
      <w:outlineLvl w:val="5"/>
    </w:pPr>
  </w:style>
  <w:style w:type="paragraph" w:styleId="7">
    <w:name w:val="heading 7"/>
    <w:basedOn w:val="H6"/>
    <w:next w:val="a"/>
    <w:link w:val="7Char"/>
    <w:qFormat/>
    <w:rsid w:val="003055FD"/>
    <w:pPr>
      <w:numPr>
        <w:ilvl w:val="0"/>
      </w:numPr>
      <w:ind w:left="1296" w:hanging="1296"/>
      <w:outlineLvl w:val="6"/>
    </w:pPr>
  </w:style>
  <w:style w:type="paragraph" w:styleId="8">
    <w:name w:val="heading 8"/>
    <w:basedOn w:val="1"/>
    <w:next w:val="a"/>
    <w:link w:val="8Char"/>
    <w:qFormat/>
    <w:rsid w:val="003055FD"/>
    <w:pPr>
      <w:keepLines/>
      <w:pBdr>
        <w:top w:val="single" w:sz="12" w:space="3" w:color="auto"/>
      </w:pBdr>
      <w:overflowPunct w:val="0"/>
      <w:autoSpaceDE w:val="0"/>
      <w:autoSpaceDN w:val="0"/>
      <w:adjustRightInd w:val="0"/>
      <w:spacing w:after="180"/>
      <w:ind w:left="1440" w:hanging="1440"/>
      <w:textAlignment w:val="baseline"/>
      <w:outlineLvl w:val="7"/>
    </w:pPr>
    <w:rPr>
      <w:rFonts w:ascii="Arial" w:eastAsia="宋体" w:hAnsi="Arial" w:cs="Times New Roman"/>
      <w:b w:val="0"/>
      <w:bCs w:val="0"/>
      <w:kern w:val="0"/>
      <w:sz w:val="36"/>
      <w:szCs w:val="20"/>
      <w:lang w:val="en-GB"/>
    </w:rPr>
  </w:style>
  <w:style w:type="paragraph" w:styleId="9">
    <w:name w:val="heading 9"/>
    <w:basedOn w:val="8"/>
    <w:next w:val="a"/>
    <w:link w:val="9Char"/>
    <w:qFormat/>
    <w:rsid w:val="003055FD"/>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Title Char,Underrubrik2 Char,H3 Char,Memo Heading 3 Char,h3 Char,no break Char,hello Char,Titre 3 Car Char,no break Car Char,H3 Car Char,Underrubrik2 Car Char,h3 Car Char,Memo Heading 3 Car Char,hello Car Char,Heading 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aliases w:val="left"/>
    <w:basedOn w:val="a"/>
    <w:link w:val="TFChar"/>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link w:val="Char6"/>
    <w:uiPriority w:val="99"/>
    <w:semiHidden/>
    <w:qFormat/>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7"/>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 w:type="character" w:customStyle="1" w:styleId="6Char">
    <w:name w:val="标题 6 Char"/>
    <w:basedOn w:val="a1"/>
    <w:link w:val="6"/>
    <w:rsid w:val="003055FD"/>
    <w:rPr>
      <w:rFonts w:ascii="Arial" w:hAnsi="Arial"/>
      <w:lang w:eastAsia="en-US"/>
    </w:rPr>
  </w:style>
  <w:style w:type="character" w:customStyle="1" w:styleId="7Char">
    <w:name w:val="标题 7 Char"/>
    <w:basedOn w:val="a1"/>
    <w:link w:val="7"/>
    <w:rsid w:val="003055FD"/>
    <w:rPr>
      <w:rFonts w:ascii="Arial" w:hAnsi="Arial"/>
      <w:lang w:eastAsia="en-US"/>
    </w:rPr>
  </w:style>
  <w:style w:type="character" w:customStyle="1" w:styleId="8Char">
    <w:name w:val="标题 8 Char"/>
    <w:basedOn w:val="a1"/>
    <w:link w:val="8"/>
    <w:rsid w:val="003055FD"/>
    <w:rPr>
      <w:rFonts w:ascii="Arial" w:hAnsi="Arial"/>
      <w:sz w:val="36"/>
      <w:lang w:val="en-GB" w:eastAsia="en-US"/>
    </w:rPr>
  </w:style>
  <w:style w:type="character" w:customStyle="1" w:styleId="9Char">
    <w:name w:val="标题 9 Char"/>
    <w:basedOn w:val="a1"/>
    <w:link w:val="9"/>
    <w:rsid w:val="003055FD"/>
    <w:rPr>
      <w:rFonts w:ascii="Arial" w:hAnsi="Arial"/>
      <w:sz w:val="36"/>
      <w:lang w:val="en-GB" w:eastAsia="en-US"/>
    </w:rPr>
  </w:style>
  <w:style w:type="paragraph" w:customStyle="1" w:styleId="H6">
    <w:name w:val="H6"/>
    <w:basedOn w:val="5"/>
    <w:next w:val="a"/>
    <w:rsid w:val="003055FD"/>
    <w:pPr>
      <w:numPr>
        <w:ilvl w:val="4"/>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3">
    <w:name w:val="B3"/>
    <w:basedOn w:val="a"/>
    <w:rsid w:val="0060726F"/>
    <w:pPr>
      <w:spacing w:after="180"/>
      <w:ind w:left="1135" w:hanging="284"/>
    </w:pPr>
    <w:rPr>
      <w:rFonts w:eastAsia="宋体"/>
      <w:sz w:val="20"/>
      <w:szCs w:val="20"/>
      <w:lang w:val="en-GB"/>
    </w:rPr>
  </w:style>
  <w:style w:type="paragraph" w:customStyle="1" w:styleId="References">
    <w:name w:val="References"/>
    <w:basedOn w:val="a"/>
    <w:rsid w:val="0060726F"/>
    <w:pPr>
      <w:numPr>
        <w:numId w:val="8"/>
      </w:numPr>
      <w:spacing w:after="80"/>
    </w:pPr>
    <w:rPr>
      <w:rFonts w:eastAsia="MS Mincho"/>
      <w:sz w:val="18"/>
      <w:szCs w:val="20"/>
    </w:rPr>
  </w:style>
  <w:style w:type="character" w:customStyle="1" w:styleId="ZGSM">
    <w:name w:val="ZGSM"/>
    <w:rsid w:val="00F234A8"/>
  </w:style>
  <w:style w:type="paragraph" w:customStyle="1" w:styleId="ZT">
    <w:name w:val="ZT"/>
    <w:rsid w:val="00F234A8"/>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TFChar">
    <w:name w:val="TF Char"/>
    <w:link w:val="TF"/>
    <w:locked/>
    <w:rsid w:val="00487F50"/>
    <w:rPr>
      <w:rFonts w:ascii="Arial" w:hAnsi="Arial"/>
      <w:b/>
      <w:lang w:val="en-GB" w:eastAsia="en-US"/>
    </w:rPr>
  </w:style>
  <w:style w:type="character" w:customStyle="1" w:styleId="Char6">
    <w:name w:val="批注主题 Char"/>
    <w:link w:val="af1"/>
    <w:uiPriority w:val="99"/>
    <w:semiHidden/>
    <w:qFormat/>
    <w:rsid w:val="006B43CA"/>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31662943">
      <w:bodyDiv w:val="1"/>
      <w:marLeft w:val="0"/>
      <w:marRight w:val="0"/>
      <w:marTop w:val="0"/>
      <w:marBottom w:val="0"/>
      <w:divBdr>
        <w:top w:val="none" w:sz="0" w:space="0" w:color="auto"/>
        <w:left w:val="none" w:sz="0" w:space="0" w:color="auto"/>
        <w:bottom w:val="none" w:sz="0" w:space="0" w:color="auto"/>
        <w:right w:val="none" w:sz="0" w:space="0" w:color="auto"/>
      </w:divBdr>
      <w:divsChild>
        <w:div w:id="1267153157">
          <w:marLeft w:val="850"/>
          <w:marRight w:val="0"/>
          <w:marTop w:val="120"/>
          <w:marBottom w:val="0"/>
          <w:divBdr>
            <w:top w:val="none" w:sz="0" w:space="0" w:color="auto"/>
            <w:left w:val="none" w:sz="0" w:space="0" w:color="auto"/>
            <w:bottom w:val="none" w:sz="0" w:space="0" w:color="auto"/>
            <w:right w:val="none" w:sz="0" w:space="0" w:color="auto"/>
          </w:divBdr>
        </w:div>
      </w:divsChild>
    </w:div>
    <w:div w:id="4850380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8251952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03001337">
      <w:bodyDiv w:val="1"/>
      <w:marLeft w:val="0"/>
      <w:marRight w:val="0"/>
      <w:marTop w:val="0"/>
      <w:marBottom w:val="0"/>
      <w:divBdr>
        <w:top w:val="none" w:sz="0" w:space="0" w:color="auto"/>
        <w:left w:val="none" w:sz="0" w:space="0" w:color="auto"/>
        <w:bottom w:val="none" w:sz="0" w:space="0" w:color="auto"/>
        <w:right w:val="none" w:sz="0" w:space="0" w:color="auto"/>
      </w:divBdr>
    </w:div>
    <w:div w:id="319043839">
      <w:bodyDiv w:val="1"/>
      <w:marLeft w:val="0"/>
      <w:marRight w:val="0"/>
      <w:marTop w:val="0"/>
      <w:marBottom w:val="0"/>
      <w:divBdr>
        <w:top w:val="none" w:sz="0" w:space="0" w:color="auto"/>
        <w:left w:val="none" w:sz="0" w:space="0" w:color="auto"/>
        <w:bottom w:val="none" w:sz="0" w:space="0" w:color="auto"/>
        <w:right w:val="none" w:sz="0" w:space="0" w:color="auto"/>
      </w:divBdr>
      <w:divsChild>
        <w:div w:id="2112433666">
          <w:marLeft w:val="418"/>
          <w:marRight w:val="0"/>
          <w:marTop w:val="120"/>
          <w:marBottom w:val="0"/>
          <w:divBdr>
            <w:top w:val="none" w:sz="0" w:space="0" w:color="auto"/>
            <w:left w:val="none" w:sz="0" w:space="0" w:color="auto"/>
            <w:bottom w:val="none" w:sz="0" w:space="0" w:color="auto"/>
            <w:right w:val="none" w:sz="0" w:space="0" w:color="auto"/>
          </w:divBdr>
        </w:div>
        <w:div w:id="1890141166">
          <w:marLeft w:val="850"/>
          <w:marRight w:val="0"/>
          <w:marTop w:val="120"/>
          <w:marBottom w:val="0"/>
          <w:divBdr>
            <w:top w:val="none" w:sz="0" w:space="0" w:color="auto"/>
            <w:left w:val="none" w:sz="0" w:space="0" w:color="auto"/>
            <w:bottom w:val="none" w:sz="0" w:space="0" w:color="auto"/>
            <w:right w:val="none" w:sz="0" w:space="0" w:color="auto"/>
          </w:divBdr>
        </w:div>
        <w:div w:id="927735903">
          <w:marLeft w:val="850"/>
          <w:marRight w:val="0"/>
          <w:marTop w:val="120"/>
          <w:marBottom w:val="0"/>
          <w:divBdr>
            <w:top w:val="none" w:sz="0" w:space="0" w:color="auto"/>
            <w:left w:val="none" w:sz="0" w:space="0" w:color="auto"/>
            <w:bottom w:val="none" w:sz="0" w:space="0" w:color="auto"/>
            <w:right w:val="none" w:sz="0" w:space="0" w:color="auto"/>
          </w:divBdr>
        </w:div>
        <w:div w:id="207422445">
          <w:marLeft w:val="850"/>
          <w:marRight w:val="0"/>
          <w:marTop w:val="12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09091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85169276">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52353388">
      <w:bodyDiv w:val="1"/>
      <w:marLeft w:val="0"/>
      <w:marRight w:val="0"/>
      <w:marTop w:val="0"/>
      <w:marBottom w:val="0"/>
      <w:divBdr>
        <w:top w:val="none" w:sz="0" w:space="0" w:color="auto"/>
        <w:left w:val="none" w:sz="0" w:space="0" w:color="auto"/>
        <w:bottom w:val="none" w:sz="0" w:space="0" w:color="auto"/>
        <w:right w:val="none" w:sz="0" w:space="0" w:color="auto"/>
      </w:divBdr>
    </w:div>
    <w:div w:id="559169041">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40389093">
      <w:bodyDiv w:val="1"/>
      <w:marLeft w:val="0"/>
      <w:marRight w:val="0"/>
      <w:marTop w:val="0"/>
      <w:marBottom w:val="0"/>
      <w:divBdr>
        <w:top w:val="none" w:sz="0" w:space="0" w:color="auto"/>
        <w:left w:val="none" w:sz="0" w:space="0" w:color="auto"/>
        <w:bottom w:val="none" w:sz="0" w:space="0" w:color="auto"/>
        <w:right w:val="none" w:sz="0" w:space="0" w:color="auto"/>
      </w:divBdr>
      <w:divsChild>
        <w:div w:id="1595354522">
          <w:marLeft w:val="850"/>
          <w:marRight w:val="0"/>
          <w:marTop w:val="120"/>
          <w:marBottom w:val="0"/>
          <w:divBdr>
            <w:top w:val="none" w:sz="0" w:space="0" w:color="auto"/>
            <w:left w:val="none" w:sz="0" w:space="0" w:color="auto"/>
            <w:bottom w:val="none" w:sz="0" w:space="0" w:color="auto"/>
            <w:right w:val="none" w:sz="0" w:space="0" w:color="auto"/>
          </w:divBdr>
        </w:div>
        <w:div w:id="1268465678">
          <w:marLeft w:val="1267"/>
          <w:marRight w:val="0"/>
          <w:marTop w:val="120"/>
          <w:marBottom w:val="0"/>
          <w:divBdr>
            <w:top w:val="none" w:sz="0" w:space="0" w:color="auto"/>
            <w:left w:val="none" w:sz="0" w:space="0" w:color="auto"/>
            <w:bottom w:val="none" w:sz="0" w:space="0" w:color="auto"/>
            <w:right w:val="none" w:sz="0" w:space="0" w:color="auto"/>
          </w:divBdr>
        </w:div>
        <w:div w:id="1049840106">
          <w:marLeft w:val="1267"/>
          <w:marRight w:val="0"/>
          <w:marTop w:val="120"/>
          <w:marBottom w:val="0"/>
          <w:divBdr>
            <w:top w:val="none" w:sz="0" w:space="0" w:color="auto"/>
            <w:left w:val="none" w:sz="0" w:space="0" w:color="auto"/>
            <w:bottom w:val="none" w:sz="0" w:space="0" w:color="auto"/>
            <w:right w:val="none" w:sz="0" w:space="0" w:color="auto"/>
          </w:divBdr>
        </w:div>
      </w:divsChild>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3591765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872803">
      <w:bodyDiv w:val="1"/>
      <w:marLeft w:val="0"/>
      <w:marRight w:val="0"/>
      <w:marTop w:val="0"/>
      <w:marBottom w:val="0"/>
      <w:divBdr>
        <w:top w:val="none" w:sz="0" w:space="0" w:color="auto"/>
        <w:left w:val="none" w:sz="0" w:space="0" w:color="auto"/>
        <w:bottom w:val="none" w:sz="0" w:space="0" w:color="auto"/>
        <w:right w:val="none" w:sz="0" w:space="0" w:color="auto"/>
      </w:divBdr>
      <w:divsChild>
        <w:div w:id="102262880">
          <w:marLeft w:val="850"/>
          <w:marRight w:val="0"/>
          <w:marTop w:val="120"/>
          <w:marBottom w:val="0"/>
          <w:divBdr>
            <w:top w:val="none" w:sz="0" w:space="0" w:color="auto"/>
            <w:left w:val="none" w:sz="0" w:space="0" w:color="auto"/>
            <w:bottom w:val="none" w:sz="0" w:space="0" w:color="auto"/>
            <w:right w:val="none" w:sz="0" w:space="0" w:color="auto"/>
          </w:divBdr>
        </w:div>
      </w:divsChild>
    </w:div>
    <w:div w:id="1461146336">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3031962">
      <w:bodyDiv w:val="1"/>
      <w:marLeft w:val="0"/>
      <w:marRight w:val="0"/>
      <w:marTop w:val="0"/>
      <w:marBottom w:val="0"/>
      <w:divBdr>
        <w:top w:val="none" w:sz="0" w:space="0" w:color="auto"/>
        <w:left w:val="none" w:sz="0" w:space="0" w:color="auto"/>
        <w:bottom w:val="none" w:sz="0" w:space="0" w:color="auto"/>
        <w:right w:val="none" w:sz="0" w:space="0" w:color="auto"/>
      </w:divBdr>
      <w:divsChild>
        <w:div w:id="884173747">
          <w:marLeft w:val="418"/>
          <w:marRight w:val="0"/>
          <w:marTop w:val="120"/>
          <w:marBottom w:val="0"/>
          <w:divBdr>
            <w:top w:val="none" w:sz="0" w:space="0" w:color="auto"/>
            <w:left w:val="none" w:sz="0" w:space="0" w:color="auto"/>
            <w:bottom w:val="none" w:sz="0" w:space="0" w:color="auto"/>
            <w:right w:val="none" w:sz="0" w:space="0" w:color="auto"/>
          </w:divBdr>
        </w:div>
        <w:div w:id="1439594245">
          <w:marLeft w:val="850"/>
          <w:marRight w:val="0"/>
          <w:marTop w:val="120"/>
          <w:marBottom w:val="0"/>
          <w:divBdr>
            <w:top w:val="none" w:sz="0" w:space="0" w:color="auto"/>
            <w:left w:val="none" w:sz="0" w:space="0" w:color="auto"/>
            <w:bottom w:val="none" w:sz="0" w:space="0" w:color="auto"/>
            <w:right w:val="none" w:sz="0" w:space="0" w:color="auto"/>
          </w:divBdr>
        </w:div>
        <w:div w:id="630749994">
          <w:marLeft w:val="850"/>
          <w:marRight w:val="0"/>
          <w:marTop w:val="120"/>
          <w:marBottom w:val="0"/>
          <w:divBdr>
            <w:top w:val="none" w:sz="0" w:space="0" w:color="auto"/>
            <w:left w:val="none" w:sz="0" w:space="0" w:color="auto"/>
            <w:bottom w:val="none" w:sz="0" w:space="0" w:color="auto"/>
            <w:right w:val="none" w:sz="0" w:space="0" w:color="auto"/>
          </w:divBdr>
        </w:div>
        <w:div w:id="436603442">
          <w:marLeft w:val="850"/>
          <w:marRight w:val="0"/>
          <w:marTop w:val="120"/>
          <w:marBottom w:val="0"/>
          <w:divBdr>
            <w:top w:val="none" w:sz="0" w:space="0" w:color="auto"/>
            <w:left w:val="none" w:sz="0" w:space="0" w:color="auto"/>
            <w:bottom w:val="none" w:sz="0" w:space="0" w:color="auto"/>
            <w:right w:val="none" w:sz="0" w:space="0" w:color="auto"/>
          </w:divBdr>
        </w:div>
        <w:div w:id="22484405">
          <w:marLeft w:val="1267"/>
          <w:marRight w:val="0"/>
          <w:marTop w:val="120"/>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1843286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2191274">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4389513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5393924">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1EA5C-872C-495B-B149-059EA0231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1962</TotalTime>
  <Pages>3</Pages>
  <Words>1060</Words>
  <Characters>6046</Characters>
  <Application>Microsoft Office Word</Application>
  <DocSecurity>0</DocSecurity>
  <Lines>50</Lines>
  <Paragraphs>14</Paragraphs>
  <ScaleCrop>false</ScaleCrop>
  <Company>vivo mobile communication co.</Company>
  <LinksUpToDate>false</LinksUpToDate>
  <CharactersWithSpaces>7092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Xueming Pan</cp:lastModifiedBy>
  <cp:revision>384</cp:revision>
  <cp:lastPrinted>2008-12-09T03:19:00Z</cp:lastPrinted>
  <dcterms:created xsi:type="dcterms:W3CDTF">2019-03-30T01:43:00Z</dcterms:created>
  <dcterms:modified xsi:type="dcterms:W3CDTF">2020-05-13T10:53:00Z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